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4B992" w14:textId="645C3E01" w:rsidR="0037454B" w:rsidRPr="004F093E" w:rsidRDefault="00BB6E0B" w:rsidP="00D93947">
      <w:pPr>
        <w:jc w:val="center"/>
        <w:rPr>
          <w:sz w:val="32"/>
          <w:szCs w:val="32"/>
        </w:rPr>
      </w:pPr>
      <w:r>
        <w:rPr>
          <w:sz w:val="32"/>
          <w:szCs w:val="32"/>
        </w:rPr>
        <w:t>Arbitration</w:t>
      </w:r>
      <w:r w:rsidR="002F7874">
        <w:rPr>
          <w:sz w:val="32"/>
          <w:szCs w:val="32"/>
        </w:rPr>
        <w:t xml:space="preserve"> </w:t>
      </w:r>
      <w:r w:rsidR="0037454B" w:rsidRPr="004F093E">
        <w:rPr>
          <w:sz w:val="32"/>
          <w:szCs w:val="32"/>
        </w:rPr>
        <w:t>Procedural Order #1</w:t>
      </w:r>
    </w:p>
    <w:p w14:paraId="72AEDF33" w14:textId="77777777" w:rsidR="0037454B" w:rsidRPr="004F093E" w:rsidRDefault="0037454B" w:rsidP="00EA1E20">
      <w:pPr>
        <w:pStyle w:val="Heading1"/>
        <w:rPr>
          <w:rFonts w:ascii="Seaford" w:hAnsi="Seaford"/>
        </w:rPr>
      </w:pPr>
      <w:r w:rsidRPr="004F093E">
        <w:rPr>
          <w:rFonts w:ascii="Seaford" w:hAnsi="Seaford"/>
        </w:rPr>
        <w:t>Pleadings</w:t>
      </w:r>
    </w:p>
    <w:p w14:paraId="39B5A675" w14:textId="436989B9" w:rsidR="0037454B" w:rsidRPr="004F093E" w:rsidRDefault="0037454B" w:rsidP="0018244D">
      <w:pPr>
        <w:pStyle w:val="AwardParagraphs"/>
      </w:pPr>
      <w:r w:rsidRPr="004F093E">
        <w:t xml:space="preserve">The Pleadings </w:t>
      </w:r>
      <w:r w:rsidR="00592456">
        <w:t>will</w:t>
      </w:r>
      <w:r w:rsidRPr="004F093E">
        <w:t xml:space="preserve"> be limited to the Notice of Arbitration and Answer to Notice of Arbitration, [which have already been delivered].</w:t>
      </w:r>
    </w:p>
    <w:p w14:paraId="08BFA4F5" w14:textId="77777777" w:rsidR="0037454B" w:rsidRPr="004F093E" w:rsidRDefault="0037454B" w:rsidP="00770404">
      <w:pPr>
        <w:pStyle w:val="Heading1"/>
        <w:rPr>
          <w:rFonts w:ascii="Seaford" w:hAnsi="Seaford"/>
        </w:rPr>
      </w:pPr>
      <w:r w:rsidRPr="004F093E">
        <w:rPr>
          <w:rFonts w:ascii="Seaford" w:hAnsi="Seaford"/>
        </w:rPr>
        <w:t>Exchange of Evidence</w:t>
      </w:r>
    </w:p>
    <w:p w14:paraId="3B28054C" w14:textId="5E1A3D5F" w:rsidR="0037454B" w:rsidRPr="004F093E" w:rsidRDefault="0037454B" w:rsidP="00D505F7">
      <w:pPr>
        <w:pStyle w:val="AwardParagraphs"/>
      </w:pPr>
      <w:r w:rsidRPr="004F093E">
        <w:t xml:space="preserve">The </w:t>
      </w:r>
      <w:r w:rsidR="003B1669" w:rsidRPr="004F093E">
        <w:t xml:space="preserve">parties’ </w:t>
      </w:r>
      <w:r w:rsidRPr="004F093E">
        <w:t xml:space="preserve">evidence </w:t>
      </w:r>
      <w:r w:rsidR="00592456">
        <w:t>will</w:t>
      </w:r>
      <w:r w:rsidRPr="004F093E">
        <w:t xml:space="preserve"> be presented in the form of</w:t>
      </w:r>
      <w:r w:rsidR="00F76721">
        <w:t xml:space="preserve"> written</w:t>
      </w:r>
      <w:r w:rsidRPr="004F093E">
        <w:t xml:space="preserve"> witness statements sworn or affirmed by the witness.</w:t>
      </w:r>
    </w:p>
    <w:p w14:paraId="09601A97" w14:textId="22AB2C07" w:rsidR="0037454B" w:rsidRPr="004F093E" w:rsidRDefault="0037454B" w:rsidP="00D505F7">
      <w:pPr>
        <w:pStyle w:val="AwardParagraphs"/>
      </w:pPr>
      <w:r w:rsidRPr="004F093E">
        <w:t xml:space="preserve">A party </w:t>
      </w:r>
      <w:r w:rsidR="00C46FA3">
        <w:t xml:space="preserve">requiring </w:t>
      </w:r>
      <w:r w:rsidRPr="004F093E">
        <w:t xml:space="preserve">evidence from a witness from whom a witness statement cannot be obtained </w:t>
      </w:r>
      <w:r w:rsidR="00C31F9B">
        <w:t>must</w:t>
      </w:r>
      <w:r w:rsidRPr="004F093E">
        <w:t xml:space="preserve">, at or before the time that </w:t>
      </w:r>
      <w:r w:rsidR="001B1DA0" w:rsidRPr="004F093E">
        <w:t>the</w:t>
      </w:r>
      <w:r w:rsidRPr="004F093E">
        <w:t xml:space="preserve"> witness</w:t>
      </w:r>
      <w:r w:rsidR="001B1DA0" w:rsidRPr="004F093E">
        <w:t>’</w:t>
      </w:r>
      <w:r w:rsidRPr="004F093E">
        <w:t xml:space="preserve"> statement </w:t>
      </w:r>
      <w:r w:rsidR="00F4375A">
        <w:t xml:space="preserve">is </w:t>
      </w:r>
      <w:r w:rsidRPr="004F093E">
        <w:t xml:space="preserve">due, seek directions from the tribunal as to how and when the evidence of the witness in question </w:t>
      </w:r>
      <w:r w:rsidR="00C31F9B">
        <w:t>will</w:t>
      </w:r>
      <w:r w:rsidRPr="004F093E">
        <w:t xml:space="preserve"> be obtained and submitted.</w:t>
      </w:r>
    </w:p>
    <w:p w14:paraId="46E8CE80" w14:textId="7009304D" w:rsidR="0037454B" w:rsidRPr="004F093E" w:rsidRDefault="003A3356" w:rsidP="00D505F7">
      <w:pPr>
        <w:pStyle w:val="AwardParagraphs"/>
      </w:pPr>
      <w:r w:rsidRPr="004F093E">
        <w:t>W</w:t>
      </w:r>
      <w:r w:rsidR="0037454B" w:rsidRPr="004F093E">
        <w:t xml:space="preserve">itness statements submitted by </w:t>
      </w:r>
      <w:r w:rsidR="00643273" w:rsidRPr="004F093E">
        <w:t>a</w:t>
      </w:r>
      <w:r w:rsidR="0037454B" w:rsidRPr="004F093E">
        <w:t xml:space="preserve"> party </w:t>
      </w:r>
      <w:r w:rsidR="00FA4184">
        <w:t>must</w:t>
      </w:r>
      <w:r w:rsidR="0037454B" w:rsidRPr="004F093E">
        <w:t xml:space="preserve"> include all the evidence that party seeks to put forward through its witnesses on all issues which have been identified by </w:t>
      </w:r>
      <w:r w:rsidR="00643273" w:rsidRPr="004F093E">
        <w:t>any</w:t>
      </w:r>
      <w:r w:rsidR="0037454B" w:rsidRPr="004F093E">
        <w:t xml:space="preserve"> party prior to the delivery of the witness statements.</w:t>
      </w:r>
    </w:p>
    <w:p w14:paraId="6C46CE74" w14:textId="43B99A03" w:rsidR="0037454B" w:rsidRPr="004F093E" w:rsidRDefault="00643273" w:rsidP="00D505F7">
      <w:pPr>
        <w:pStyle w:val="AwardParagraphs"/>
      </w:pPr>
      <w:r w:rsidRPr="004F093E">
        <w:t>W</w:t>
      </w:r>
      <w:r w:rsidR="0037454B" w:rsidRPr="004F093E">
        <w:t xml:space="preserve">itness statements </w:t>
      </w:r>
      <w:r w:rsidR="00B0761C" w:rsidRPr="004F093E">
        <w:t>submitted</w:t>
      </w:r>
      <w:r w:rsidR="0037454B" w:rsidRPr="004F093E">
        <w:t xml:space="preserve"> by </w:t>
      </w:r>
      <w:r w:rsidRPr="004F093E">
        <w:t>a</w:t>
      </w:r>
      <w:r w:rsidR="0037454B" w:rsidRPr="004F093E">
        <w:t xml:space="preserve"> party </w:t>
      </w:r>
      <w:r w:rsidR="00FA4184">
        <w:t>must</w:t>
      </w:r>
      <w:r w:rsidR="0037454B" w:rsidRPr="004F093E">
        <w:t xml:space="preserve"> be accompanied by </w:t>
      </w:r>
      <w:r w:rsidR="00726213" w:rsidRPr="004F093E">
        <w:t>all</w:t>
      </w:r>
      <w:r w:rsidR="0037454B" w:rsidRPr="004F093E">
        <w:t xml:space="preserve"> the documents on which that party intends to rely. </w:t>
      </w:r>
      <w:r w:rsidR="009741C8">
        <w:t>Each document must be a separate PDF</w:t>
      </w:r>
      <w:r w:rsidR="00532466">
        <w:t xml:space="preserve"> and include the unique identifying number assigned to that document. </w:t>
      </w:r>
    </w:p>
    <w:p w14:paraId="736B1CB1" w14:textId="7D0DB1FD" w:rsidR="0037454B" w:rsidRPr="004F093E" w:rsidRDefault="0037454B" w:rsidP="00D505F7">
      <w:pPr>
        <w:pStyle w:val="AwardParagraphs"/>
      </w:pPr>
      <w:r w:rsidRPr="004F093E">
        <w:t xml:space="preserve">All exhibits and documents produced </w:t>
      </w:r>
      <w:r w:rsidR="00C9694C" w:rsidRPr="004F093E">
        <w:t xml:space="preserve">in </w:t>
      </w:r>
      <w:r w:rsidRPr="004F093E">
        <w:t>the arbitration shall be given a unique, identifying number</w:t>
      </w:r>
      <w:r w:rsidR="00706771">
        <w:t xml:space="preserve">. </w:t>
      </w:r>
      <w:r w:rsidRPr="004F093E">
        <w:t xml:space="preserve">Claimant </w:t>
      </w:r>
      <w:r w:rsidR="00F47C9B">
        <w:t xml:space="preserve">document </w:t>
      </w:r>
      <w:r w:rsidRPr="004F093E">
        <w:t xml:space="preserve">numbers shall be preceded by the letter “C” Respondent </w:t>
      </w:r>
      <w:r w:rsidR="00F47C9B">
        <w:t xml:space="preserve">document </w:t>
      </w:r>
      <w:r w:rsidRPr="004F093E">
        <w:t xml:space="preserve">numbers shall be preceded by the letter “R”. All multi-document productions shall be tabbed or digitally bookmarked for the component documents. </w:t>
      </w:r>
    </w:p>
    <w:p w14:paraId="6F38A982" w14:textId="25235E1A" w:rsidR="0037454B" w:rsidRPr="004F093E" w:rsidRDefault="0037454B" w:rsidP="00D505F7">
      <w:pPr>
        <w:pStyle w:val="AwardParagraphs"/>
      </w:pPr>
      <w:r w:rsidRPr="004F093E">
        <w:t xml:space="preserve">On or before [Day 30] the Claimant </w:t>
      </w:r>
      <w:r w:rsidR="00714D5D">
        <w:t>must</w:t>
      </w:r>
      <w:r w:rsidRPr="004F093E">
        <w:t xml:space="preserve"> deliver its witness statements and documents.</w:t>
      </w:r>
    </w:p>
    <w:p w14:paraId="6BCBE020" w14:textId="61122658" w:rsidR="0037454B" w:rsidRPr="004F093E" w:rsidRDefault="0037454B" w:rsidP="00D505F7">
      <w:pPr>
        <w:pStyle w:val="AwardParagraphs"/>
      </w:pPr>
      <w:r w:rsidRPr="004F093E">
        <w:t xml:space="preserve">On or before [Day 60] the Respondent </w:t>
      </w:r>
      <w:r w:rsidR="00714D5D">
        <w:t>must</w:t>
      </w:r>
      <w:r w:rsidRPr="004F093E">
        <w:t xml:space="preserve"> deliver its responding witness statements and documents.</w:t>
      </w:r>
    </w:p>
    <w:p w14:paraId="07622E3B" w14:textId="4F737D38" w:rsidR="0037454B" w:rsidRPr="004F093E" w:rsidRDefault="0037454B" w:rsidP="00D505F7">
      <w:pPr>
        <w:pStyle w:val="AwardParagraphs"/>
      </w:pPr>
      <w:r w:rsidRPr="004F093E">
        <w:t xml:space="preserve">On or before [Day 90] the Claimant </w:t>
      </w:r>
      <w:r w:rsidR="00714D5D">
        <w:t>must</w:t>
      </w:r>
      <w:r w:rsidRPr="004F093E">
        <w:t xml:space="preserve"> deliver its reply witness statements and documents, if any. </w:t>
      </w:r>
      <w:r w:rsidR="00832CAD" w:rsidRPr="004F093E">
        <w:t>R</w:t>
      </w:r>
      <w:r w:rsidRPr="004F093E">
        <w:t xml:space="preserve">eply witness statements and documents </w:t>
      </w:r>
      <w:r w:rsidR="00714D5D">
        <w:t>will</w:t>
      </w:r>
      <w:r w:rsidRPr="004F093E">
        <w:t xml:space="preserve"> be limited to responding to new issues or evidence of which the Claimant was not previously aware and</w:t>
      </w:r>
      <w:r w:rsidR="003F580C">
        <w:t xml:space="preserve"> </w:t>
      </w:r>
      <w:r w:rsidRPr="004F093E">
        <w:t>o</w:t>
      </w:r>
      <w:r w:rsidR="00E466C7">
        <w:t>f</w:t>
      </w:r>
      <w:r w:rsidRPr="004F093E">
        <w:t xml:space="preserve"> which the Claimant had no prior opportunity to address. </w:t>
      </w:r>
      <w:r w:rsidR="00297B06" w:rsidRPr="004F093E">
        <w:t>T</w:t>
      </w:r>
      <w:r w:rsidRPr="004F093E">
        <w:t xml:space="preserve">he Claimant may include evidence in respect of any information or documents obtained pursuant to the process described under </w:t>
      </w:r>
      <w:r w:rsidRPr="004F093E">
        <w:lastRenderedPageBreak/>
        <w:t>the heading “Disclosure Requests” below which the Claimant did not have an opportunity to address in its witness statements and documents delivered on or before [Day 30].</w:t>
      </w:r>
    </w:p>
    <w:p w14:paraId="5C94319F" w14:textId="731BE012" w:rsidR="0037454B" w:rsidRPr="004F093E" w:rsidRDefault="0037454B" w:rsidP="00D505F7">
      <w:pPr>
        <w:pStyle w:val="AwardParagraphs"/>
      </w:pPr>
      <w:r w:rsidRPr="004F093E">
        <w:t xml:space="preserve">Any witness statement or document a party wishes to file in response to disclosure of documents, information, or a witness statement from </w:t>
      </w:r>
      <w:r w:rsidR="00444AF8" w:rsidRPr="004F093E">
        <w:t xml:space="preserve">another party </w:t>
      </w:r>
      <w:r w:rsidRPr="004F093E">
        <w:t xml:space="preserve">that the party did not have a reasonable opportunity to address, may be filed by agreement of the parties or, failing agreement, pursuant to </w:t>
      </w:r>
      <w:r w:rsidR="0038433A">
        <w:t xml:space="preserve">tribunal </w:t>
      </w:r>
      <w:r w:rsidRPr="004F093E">
        <w:t xml:space="preserve">direction. No further witness statements or documents </w:t>
      </w:r>
      <w:r w:rsidR="00714D5D">
        <w:t>may</w:t>
      </w:r>
      <w:r w:rsidRPr="004F093E">
        <w:t xml:space="preserve"> be delivered prior to the hearing without agreement of the parties or leave of the tribunal.</w:t>
      </w:r>
    </w:p>
    <w:p w14:paraId="3C4096B3" w14:textId="1BF9E449" w:rsidR="0037454B" w:rsidRPr="004F093E" w:rsidRDefault="0037454B" w:rsidP="00D505F7">
      <w:pPr>
        <w:pStyle w:val="AwardParagraphs"/>
      </w:pPr>
      <w:r w:rsidRPr="004F093E">
        <w:t xml:space="preserve">Any expert’s report upon which </w:t>
      </w:r>
      <w:r w:rsidR="00E708A4" w:rsidRPr="004F093E">
        <w:t>a</w:t>
      </w:r>
      <w:r w:rsidRPr="004F093E">
        <w:t xml:space="preserve"> </w:t>
      </w:r>
      <w:r w:rsidR="0038433A">
        <w:t>party</w:t>
      </w:r>
      <w:r w:rsidRPr="004F093E">
        <w:t xml:space="preserve"> wishes to rely (an “Initial Expert Report”) </w:t>
      </w:r>
      <w:r w:rsidR="005568D1">
        <w:t>must</w:t>
      </w:r>
      <w:r w:rsidRPr="004F093E">
        <w:t xml:space="preserve"> be delivered on or before [Day 135] An Initial Expert Report </w:t>
      </w:r>
      <w:r w:rsidR="005568D1">
        <w:t>must</w:t>
      </w:r>
      <w:r w:rsidRPr="004F093E">
        <w:t xml:space="preserve"> be accompanied by:</w:t>
      </w:r>
    </w:p>
    <w:p w14:paraId="14E2271F" w14:textId="493E4DFE" w:rsidR="0037454B" w:rsidRPr="004F093E" w:rsidRDefault="0037454B" w:rsidP="007E6E4D">
      <w:pPr>
        <w:pStyle w:val="ListParagraph"/>
        <w:numPr>
          <w:ilvl w:val="0"/>
          <w:numId w:val="1"/>
        </w:numPr>
        <w:rPr>
          <w:sz w:val="24"/>
          <w:szCs w:val="24"/>
        </w:rPr>
      </w:pPr>
      <w:r w:rsidRPr="004F093E">
        <w:rPr>
          <w:sz w:val="24"/>
          <w:szCs w:val="24"/>
        </w:rPr>
        <w:t>A copy of any written communication by which the expert was retained and instructed in the matter;</w:t>
      </w:r>
    </w:p>
    <w:p w14:paraId="43039EC9" w14:textId="27C0546D" w:rsidR="0037454B" w:rsidRPr="004F093E" w:rsidRDefault="0037454B" w:rsidP="007E6E4D">
      <w:pPr>
        <w:pStyle w:val="ListParagraph"/>
        <w:numPr>
          <w:ilvl w:val="0"/>
          <w:numId w:val="1"/>
        </w:numPr>
        <w:rPr>
          <w:sz w:val="24"/>
          <w:szCs w:val="24"/>
        </w:rPr>
      </w:pPr>
      <w:r w:rsidRPr="004F093E">
        <w:rPr>
          <w:sz w:val="24"/>
          <w:szCs w:val="24"/>
        </w:rPr>
        <w:t xml:space="preserve">Copies of all documents and information </w:t>
      </w:r>
      <w:r w:rsidR="001038D3" w:rsidRPr="004F093E">
        <w:rPr>
          <w:sz w:val="24"/>
          <w:szCs w:val="24"/>
        </w:rPr>
        <w:t xml:space="preserve">provided to the </w:t>
      </w:r>
      <w:r w:rsidR="00D41E77" w:rsidRPr="004F093E">
        <w:rPr>
          <w:sz w:val="24"/>
          <w:szCs w:val="24"/>
        </w:rPr>
        <w:t>expert</w:t>
      </w:r>
      <w:r w:rsidR="001038D3" w:rsidRPr="004F093E">
        <w:rPr>
          <w:sz w:val="24"/>
          <w:szCs w:val="24"/>
        </w:rPr>
        <w:t xml:space="preserve"> </w:t>
      </w:r>
      <w:r w:rsidRPr="004F093E">
        <w:rPr>
          <w:sz w:val="24"/>
          <w:szCs w:val="24"/>
        </w:rPr>
        <w:t>by the party that retained the expert’s services;</w:t>
      </w:r>
      <w:r w:rsidR="00E419A7">
        <w:rPr>
          <w:sz w:val="24"/>
          <w:szCs w:val="24"/>
        </w:rPr>
        <w:t xml:space="preserve"> and</w:t>
      </w:r>
    </w:p>
    <w:p w14:paraId="7CEF6CA4" w14:textId="09483078" w:rsidR="0037454B" w:rsidRPr="004F093E" w:rsidRDefault="0037454B" w:rsidP="007E6E4D">
      <w:pPr>
        <w:pStyle w:val="ListParagraph"/>
        <w:numPr>
          <w:ilvl w:val="0"/>
          <w:numId w:val="1"/>
        </w:numPr>
        <w:rPr>
          <w:sz w:val="24"/>
          <w:szCs w:val="24"/>
        </w:rPr>
      </w:pPr>
      <w:r w:rsidRPr="004F093E">
        <w:rPr>
          <w:sz w:val="24"/>
          <w:szCs w:val="24"/>
        </w:rPr>
        <w:t xml:space="preserve">A statement that the </w:t>
      </w:r>
      <w:r w:rsidR="00D41E77" w:rsidRPr="004F093E">
        <w:rPr>
          <w:sz w:val="24"/>
          <w:szCs w:val="24"/>
        </w:rPr>
        <w:t>expert</w:t>
      </w:r>
      <w:r w:rsidRPr="004F093E">
        <w:rPr>
          <w:sz w:val="24"/>
          <w:szCs w:val="24"/>
        </w:rPr>
        <w:t xml:space="preserve"> has performed, and will perform, the expert’s role in an independent and impartial manner with an overriding objective of assisting the tribunal in arriving at an informed and justified conclusion.</w:t>
      </w:r>
    </w:p>
    <w:p w14:paraId="0827D7CD" w14:textId="4A40A7E6" w:rsidR="0037454B" w:rsidRPr="004F093E" w:rsidRDefault="0037454B" w:rsidP="005711E1">
      <w:pPr>
        <w:pStyle w:val="AwardParagraphs"/>
      </w:pPr>
      <w:r w:rsidRPr="004F093E">
        <w:t xml:space="preserve">Any responding expert’s report which </w:t>
      </w:r>
      <w:r w:rsidR="003E0864" w:rsidRPr="004F093E">
        <w:t>a</w:t>
      </w:r>
      <w:r w:rsidRPr="004F093E">
        <w:t xml:space="preserve"> </w:t>
      </w:r>
      <w:r w:rsidR="00E419A7">
        <w:t xml:space="preserve">party </w:t>
      </w:r>
      <w:r w:rsidRPr="004F093E">
        <w:t xml:space="preserve">wishes to deliver in response to an Initial Expert Report (a “Responding Expert Report”) </w:t>
      </w:r>
      <w:r w:rsidR="005568D1">
        <w:t>must</w:t>
      </w:r>
      <w:r w:rsidRPr="004F093E">
        <w:t xml:space="preserve"> be delivered on or before [Day 165]. Any Responding Expert Report </w:t>
      </w:r>
      <w:r w:rsidR="005568D1">
        <w:t>will</w:t>
      </w:r>
      <w:r w:rsidRPr="004F093E">
        <w:t xml:space="preserve"> be limited to comments regarding the Initial Expert Report and </w:t>
      </w:r>
      <w:r w:rsidR="005568D1">
        <w:t>must</w:t>
      </w:r>
      <w:r w:rsidRPr="004F093E">
        <w:t xml:space="preserve"> not include new opinions, </w:t>
      </w:r>
      <w:r w:rsidR="00B25F00" w:rsidRPr="004F093E">
        <w:t>analysis,</w:t>
      </w:r>
      <w:r w:rsidRPr="004F093E">
        <w:t xml:space="preserve"> or conclusions which </w:t>
      </w:r>
      <w:r w:rsidR="003E0864" w:rsidRPr="004F093E">
        <w:t>the</w:t>
      </w:r>
      <w:r w:rsidRPr="004F093E">
        <w:t xml:space="preserve"> expert could have included in an Initial Expert Report.</w:t>
      </w:r>
    </w:p>
    <w:p w14:paraId="7B8E8FA3" w14:textId="1D7D1159" w:rsidR="0037454B" w:rsidRPr="004F093E" w:rsidRDefault="0037454B" w:rsidP="005711E1">
      <w:pPr>
        <w:pStyle w:val="AwardParagraphs"/>
      </w:pPr>
      <w:r w:rsidRPr="004F093E">
        <w:t xml:space="preserve">A Responding Expert Report </w:t>
      </w:r>
      <w:r w:rsidR="005568D1">
        <w:t>must</w:t>
      </w:r>
      <w:r w:rsidRPr="004F093E">
        <w:t xml:space="preserve"> list, explain, </w:t>
      </w:r>
      <w:r w:rsidR="00B25F00" w:rsidRPr="004F093E">
        <w:t>justify,</w:t>
      </w:r>
      <w:r w:rsidRPr="004F093E">
        <w:t xml:space="preserve"> and quantify differences in assumptions and conclusions between the expert delivering the Responding Report and the other expert.</w:t>
      </w:r>
    </w:p>
    <w:p w14:paraId="27295AF3" w14:textId="3D333C6B" w:rsidR="0037454B" w:rsidRPr="004F093E" w:rsidRDefault="0037454B" w:rsidP="005711E1">
      <w:pPr>
        <w:pStyle w:val="AwardParagraphs"/>
      </w:pPr>
      <w:r w:rsidRPr="004F093E">
        <w:t xml:space="preserve">Any objection to the qualifications of an expert, or to the admissibility of all or part of an expert report, </w:t>
      </w:r>
      <w:r w:rsidR="005568D1">
        <w:t>must</w:t>
      </w:r>
      <w:r w:rsidRPr="004F093E">
        <w:t xml:space="preserve"> be made in writing within 7 days of receipt of the expert’s report, failing which it </w:t>
      </w:r>
      <w:r w:rsidR="005568D1">
        <w:t>will</w:t>
      </w:r>
      <w:r w:rsidRPr="004F093E">
        <w:t xml:space="preserve"> be presumed that there is no such objection. The tribunal </w:t>
      </w:r>
      <w:r w:rsidR="00D66ADA" w:rsidRPr="004F093E">
        <w:t xml:space="preserve">will </w:t>
      </w:r>
      <w:r w:rsidRPr="004F093E">
        <w:t xml:space="preserve">receive submissions regarding any objection and </w:t>
      </w:r>
      <w:r w:rsidR="00417CD2" w:rsidRPr="004F093E">
        <w:t xml:space="preserve">provide a </w:t>
      </w:r>
      <w:r w:rsidRPr="004F093E">
        <w:t>ruling.</w:t>
      </w:r>
    </w:p>
    <w:p w14:paraId="6111A76C" w14:textId="38404007" w:rsidR="00D201BD" w:rsidRPr="004F093E" w:rsidRDefault="0048431A" w:rsidP="005711E1">
      <w:pPr>
        <w:pStyle w:val="AwardParagraphs"/>
      </w:pPr>
      <w:r w:rsidRPr="004F093E">
        <w:t xml:space="preserve">Optional: </w:t>
      </w:r>
      <w:r w:rsidR="0037454B" w:rsidRPr="004F093E">
        <w:t xml:space="preserve">[On or before [Day 195] the experts who have delivered Initial or Responding Expert Reports </w:t>
      </w:r>
      <w:r w:rsidR="005568D1">
        <w:t>must</w:t>
      </w:r>
      <w:r w:rsidR="0037454B" w:rsidRPr="004F093E">
        <w:t xml:space="preserve"> meet, without counsel, and prepare a joint report</w:t>
      </w:r>
      <w:r w:rsidR="00D201BD" w:rsidRPr="004F093E">
        <w:t>:</w:t>
      </w:r>
      <w:r w:rsidR="0037454B" w:rsidRPr="004F093E">
        <w:t xml:space="preserve"> </w:t>
      </w:r>
    </w:p>
    <w:p w14:paraId="1C584BBB" w14:textId="2CF51076" w:rsidR="00D201BD" w:rsidRPr="004F093E" w:rsidRDefault="0037454B" w:rsidP="00D201BD">
      <w:pPr>
        <w:pStyle w:val="ListParagraph"/>
        <w:numPr>
          <w:ilvl w:val="0"/>
          <w:numId w:val="3"/>
        </w:numPr>
        <w:rPr>
          <w:sz w:val="24"/>
          <w:szCs w:val="24"/>
        </w:rPr>
      </w:pPr>
      <w:r w:rsidRPr="004F093E">
        <w:rPr>
          <w:sz w:val="24"/>
          <w:szCs w:val="24"/>
        </w:rPr>
        <w:t xml:space="preserve">identifying areas of disagreement, </w:t>
      </w:r>
    </w:p>
    <w:p w14:paraId="6DA77C6E" w14:textId="0D2FF4D9" w:rsidR="00D201BD" w:rsidRPr="004F093E" w:rsidRDefault="0037454B" w:rsidP="00D201BD">
      <w:pPr>
        <w:pStyle w:val="ListParagraph"/>
        <w:numPr>
          <w:ilvl w:val="0"/>
          <w:numId w:val="3"/>
        </w:numPr>
        <w:rPr>
          <w:sz w:val="24"/>
          <w:szCs w:val="24"/>
        </w:rPr>
      </w:pPr>
      <w:r w:rsidRPr="004F093E">
        <w:rPr>
          <w:sz w:val="24"/>
          <w:szCs w:val="24"/>
        </w:rPr>
        <w:t xml:space="preserve">listing reasons for differences, and </w:t>
      </w:r>
    </w:p>
    <w:p w14:paraId="7892E421" w14:textId="64393551" w:rsidR="0037454B" w:rsidRPr="004F093E" w:rsidRDefault="0037454B" w:rsidP="00D201BD">
      <w:pPr>
        <w:pStyle w:val="ListParagraph"/>
        <w:numPr>
          <w:ilvl w:val="0"/>
          <w:numId w:val="3"/>
        </w:numPr>
        <w:rPr>
          <w:sz w:val="24"/>
          <w:szCs w:val="24"/>
        </w:rPr>
      </w:pPr>
      <w:r w:rsidRPr="004F093E">
        <w:rPr>
          <w:sz w:val="24"/>
          <w:szCs w:val="24"/>
        </w:rPr>
        <w:t>quantifying differences.</w:t>
      </w:r>
      <w:r w:rsidR="0044055E">
        <w:rPr>
          <w:sz w:val="24"/>
          <w:szCs w:val="24"/>
        </w:rPr>
        <w:t>]</w:t>
      </w:r>
    </w:p>
    <w:p w14:paraId="3646CD9C" w14:textId="18650A7C" w:rsidR="0037454B" w:rsidRPr="004F093E" w:rsidRDefault="0037454B" w:rsidP="00DB283A">
      <w:pPr>
        <w:pStyle w:val="AwardParagraphs"/>
      </w:pPr>
      <w:r w:rsidRPr="004F093E">
        <w:t xml:space="preserve">All witness statements, expert reports and documents </w:t>
      </w:r>
      <w:r w:rsidR="005568D1">
        <w:t>must</w:t>
      </w:r>
      <w:r w:rsidRPr="004F093E">
        <w:t xml:space="preserve"> be delivered by sending a copy by email to the other party and the tribunal, by 5 pm </w:t>
      </w:r>
      <w:r w:rsidR="0048431A" w:rsidRPr="004F093E">
        <w:t>Mountai</w:t>
      </w:r>
      <w:r w:rsidR="000E01A1" w:rsidRPr="004F093E">
        <w:t>n</w:t>
      </w:r>
      <w:r w:rsidRPr="004F093E">
        <w:t xml:space="preserve"> Time of the day in question.</w:t>
      </w:r>
      <w:r w:rsidR="00DB1619" w:rsidRPr="004F093E">
        <w:t xml:space="preserve"> </w:t>
      </w:r>
    </w:p>
    <w:p w14:paraId="554AAAD1" w14:textId="77777777" w:rsidR="0037454B" w:rsidRPr="004F093E" w:rsidRDefault="0037454B" w:rsidP="0048431A">
      <w:pPr>
        <w:pStyle w:val="Heading1"/>
        <w:rPr>
          <w:rFonts w:ascii="Seaford" w:hAnsi="Seaford"/>
        </w:rPr>
      </w:pPr>
      <w:r w:rsidRPr="004F093E">
        <w:rPr>
          <w:rFonts w:ascii="Seaford" w:hAnsi="Seaford"/>
        </w:rPr>
        <w:t>Disclosure Requests</w:t>
      </w:r>
    </w:p>
    <w:p w14:paraId="2C880944" w14:textId="10DC2F99" w:rsidR="0037454B" w:rsidRPr="004F093E" w:rsidRDefault="000E01A1" w:rsidP="00DB283A">
      <w:pPr>
        <w:pStyle w:val="AwardParagraphs"/>
      </w:pPr>
      <w:r w:rsidRPr="004F093E">
        <w:t xml:space="preserve">A party </w:t>
      </w:r>
      <w:r w:rsidR="0037454B" w:rsidRPr="004F093E">
        <w:t xml:space="preserve">may, at any time, request in writing information or documents from </w:t>
      </w:r>
      <w:r w:rsidR="009E10C8" w:rsidRPr="004F093E">
        <w:t xml:space="preserve">another party </w:t>
      </w:r>
      <w:r w:rsidR="0037454B" w:rsidRPr="004F093E">
        <w:t>relevant to the issues raised by the Pleadings or the witness statements. Such requests</w:t>
      </w:r>
      <w:r w:rsidR="00E76045" w:rsidRPr="004F093E">
        <w:t xml:space="preserve"> should specify </w:t>
      </w:r>
      <w:r w:rsidR="0037454B" w:rsidRPr="004F093E">
        <w:t>the documents or information sought</w:t>
      </w:r>
      <w:r w:rsidR="00E76045" w:rsidRPr="004F093E">
        <w:t xml:space="preserve"> and </w:t>
      </w:r>
      <w:r w:rsidR="0037454B" w:rsidRPr="004F093E">
        <w:t>be confined to relevant and material information and documents not otherwise available to the party making the request. Documents requested must be specific documents or categories of documents that can be identified objectively, and not solely by theme or subject matter.</w:t>
      </w:r>
    </w:p>
    <w:p w14:paraId="79D83A69" w14:textId="6A1AC417" w:rsidR="0037454B" w:rsidRPr="004F093E" w:rsidRDefault="00632D6D" w:rsidP="00DB283A">
      <w:pPr>
        <w:pStyle w:val="AwardParagraphs"/>
      </w:pPr>
      <w:r w:rsidRPr="004F093E">
        <w:t>U</w:t>
      </w:r>
      <w:r w:rsidR="0037454B" w:rsidRPr="004F093E">
        <w:t xml:space="preserve">nreasonable delay in making a request for information or documents may </w:t>
      </w:r>
      <w:r w:rsidRPr="004F093E">
        <w:t xml:space="preserve">result in </w:t>
      </w:r>
      <w:r w:rsidR="00F259BB" w:rsidRPr="004F093E">
        <w:t xml:space="preserve">denial of the request </w:t>
      </w:r>
      <w:r w:rsidR="0037454B" w:rsidRPr="004F093E">
        <w:t xml:space="preserve">if: </w:t>
      </w:r>
    </w:p>
    <w:p w14:paraId="7745BDA3" w14:textId="3C56057E" w:rsidR="0037454B" w:rsidRPr="004F093E" w:rsidRDefault="004E7C69" w:rsidP="007E463F">
      <w:pPr>
        <w:pStyle w:val="ListParagraph"/>
        <w:numPr>
          <w:ilvl w:val="0"/>
          <w:numId w:val="5"/>
        </w:numPr>
        <w:rPr>
          <w:sz w:val="24"/>
          <w:szCs w:val="24"/>
        </w:rPr>
      </w:pPr>
      <w:r>
        <w:rPr>
          <w:sz w:val="24"/>
          <w:szCs w:val="24"/>
        </w:rPr>
        <w:t>G</w:t>
      </w:r>
      <w:r w:rsidR="0037454B" w:rsidRPr="004F093E">
        <w:rPr>
          <w:sz w:val="24"/>
          <w:szCs w:val="24"/>
        </w:rPr>
        <w:t>ranting the request would cause unjustified delay in the arbitration schedule;</w:t>
      </w:r>
    </w:p>
    <w:p w14:paraId="4988FAD8" w14:textId="774FED11" w:rsidR="0037454B" w:rsidRPr="004F093E" w:rsidRDefault="004E7C69" w:rsidP="007E463F">
      <w:pPr>
        <w:pStyle w:val="ListParagraph"/>
        <w:numPr>
          <w:ilvl w:val="0"/>
          <w:numId w:val="5"/>
        </w:numPr>
        <w:rPr>
          <w:sz w:val="24"/>
          <w:szCs w:val="24"/>
        </w:rPr>
      </w:pPr>
      <w:r>
        <w:rPr>
          <w:sz w:val="24"/>
          <w:szCs w:val="24"/>
        </w:rPr>
        <w:t>T</w:t>
      </w:r>
      <w:r w:rsidR="0037454B" w:rsidRPr="004F093E">
        <w:rPr>
          <w:sz w:val="24"/>
          <w:szCs w:val="24"/>
        </w:rPr>
        <w:t>he resources, cost or effort required to find or produce the documents would be disproportionate to the relevance or materiality of the documents;</w:t>
      </w:r>
      <w:r>
        <w:rPr>
          <w:sz w:val="24"/>
          <w:szCs w:val="24"/>
        </w:rPr>
        <w:t xml:space="preserve"> or</w:t>
      </w:r>
    </w:p>
    <w:p w14:paraId="270C0836" w14:textId="33145159" w:rsidR="0037454B" w:rsidRPr="004F093E" w:rsidRDefault="00495F0C" w:rsidP="007E463F">
      <w:pPr>
        <w:pStyle w:val="ListParagraph"/>
        <w:numPr>
          <w:ilvl w:val="0"/>
          <w:numId w:val="5"/>
        </w:numPr>
        <w:rPr>
          <w:sz w:val="24"/>
          <w:szCs w:val="24"/>
        </w:rPr>
      </w:pPr>
      <w:r>
        <w:rPr>
          <w:sz w:val="24"/>
          <w:szCs w:val="24"/>
        </w:rPr>
        <w:t>T</w:t>
      </w:r>
      <w:r w:rsidR="0037454B" w:rsidRPr="004F093E">
        <w:rPr>
          <w:sz w:val="24"/>
          <w:szCs w:val="24"/>
        </w:rPr>
        <w:t>he documents are available to the requesting party to the same extent as they are available to the party of whom the request was made.</w:t>
      </w:r>
    </w:p>
    <w:p w14:paraId="13A3CDFF" w14:textId="0D3B5DE2" w:rsidR="0037454B" w:rsidRPr="004F093E" w:rsidRDefault="0037454B" w:rsidP="00691D90">
      <w:pPr>
        <w:pStyle w:val="AwardParagraphs"/>
      </w:pPr>
      <w:r w:rsidRPr="004F093E">
        <w:t xml:space="preserve">Requests for information or documents </w:t>
      </w:r>
      <w:r w:rsidR="005568D1">
        <w:t>must</w:t>
      </w:r>
      <w:r w:rsidRPr="004F093E">
        <w:t xml:space="preserve"> be responded to promptly as they are received.</w:t>
      </w:r>
    </w:p>
    <w:p w14:paraId="0E2262F7" w14:textId="74D69057" w:rsidR="0037454B" w:rsidRPr="004F093E" w:rsidRDefault="00C522CF" w:rsidP="00691D90">
      <w:pPr>
        <w:pStyle w:val="AwardParagraphs"/>
      </w:pPr>
      <w:r w:rsidRPr="004F093E">
        <w:t>D</w:t>
      </w:r>
      <w:r w:rsidR="0037454B" w:rsidRPr="004F093E">
        <w:t xml:space="preserve">isputes regarding information or document requests, which counsel are unable to resolve </w:t>
      </w:r>
      <w:r w:rsidR="005568D1">
        <w:t>may</w:t>
      </w:r>
      <w:r w:rsidR="0037454B" w:rsidRPr="004F093E">
        <w:t xml:space="preserve"> be raised with the tribunal by email</w:t>
      </w:r>
      <w:r w:rsidRPr="004F093E">
        <w:t xml:space="preserve"> and may be dealt with </w:t>
      </w:r>
      <w:r w:rsidR="0037454B" w:rsidRPr="004F093E">
        <w:t xml:space="preserve">without a formal motion unless so directed by the tribunal. </w:t>
      </w:r>
      <w:r w:rsidR="00CE6100">
        <w:t>T</w:t>
      </w:r>
      <w:r w:rsidR="0037454B" w:rsidRPr="004F093E">
        <w:t xml:space="preserve">he </w:t>
      </w:r>
      <w:r w:rsidR="00F03C6A" w:rsidRPr="004F093E">
        <w:t>t</w:t>
      </w:r>
      <w:r w:rsidR="0037454B" w:rsidRPr="004F093E">
        <w:t xml:space="preserve">ribunal may direct </w:t>
      </w:r>
      <w:proofErr w:type="gramStart"/>
      <w:r w:rsidR="0037454B" w:rsidRPr="004F093E">
        <w:t xml:space="preserve">that </w:t>
      </w:r>
      <w:r w:rsidR="00517E31">
        <w:t>requests</w:t>
      </w:r>
      <w:proofErr w:type="gramEnd"/>
      <w:r w:rsidR="00517E31">
        <w:t xml:space="preserve"> </w:t>
      </w:r>
      <w:r w:rsidR="0037454B" w:rsidRPr="004F093E">
        <w:t xml:space="preserve">be dealt with in a summary manner using a </w:t>
      </w:r>
      <w:r w:rsidR="005450D9">
        <w:t>table</w:t>
      </w:r>
      <w:r w:rsidR="0037454B" w:rsidRPr="004F093E">
        <w:t xml:space="preserve"> format.</w:t>
      </w:r>
    </w:p>
    <w:p w14:paraId="7916F3DC" w14:textId="2386834A" w:rsidR="0037454B" w:rsidRPr="004F093E" w:rsidRDefault="0037454B" w:rsidP="00691D90">
      <w:pPr>
        <w:pStyle w:val="AwardParagraphs"/>
      </w:pPr>
      <w:r w:rsidRPr="004F093E">
        <w:t>Requests for further information or documents may include requests to conduct examinations of witnesses before the hearing. However, unless consented to by the other party, requests for pre-hearing witness examinations will only be granted if it is demonstrated that there is a need for specified, further information before the hearing which the requesting party has been unable to obtain by other means.</w:t>
      </w:r>
    </w:p>
    <w:p w14:paraId="009632C4" w14:textId="396C45D4" w:rsidR="0037454B" w:rsidRPr="004F093E" w:rsidRDefault="0037454B" w:rsidP="00691D90">
      <w:pPr>
        <w:pStyle w:val="AwardParagraphs"/>
      </w:pPr>
      <w:r w:rsidRPr="004F093E">
        <w:t xml:space="preserve">In the absence of extraordinary circumstances, no requests for information, documents or pre-hearing examination of witnesses </w:t>
      </w:r>
      <w:r w:rsidR="00EA3728">
        <w:t>may</w:t>
      </w:r>
      <w:r w:rsidRPr="004F093E">
        <w:t xml:space="preserve"> be made after [Day 105].</w:t>
      </w:r>
    </w:p>
    <w:p w14:paraId="1D2635CA" w14:textId="41B4FCC0" w:rsidR="0037454B" w:rsidRPr="004F093E" w:rsidRDefault="007E48AE" w:rsidP="00691D90">
      <w:pPr>
        <w:pStyle w:val="AwardParagraphs"/>
      </w:pPr>
      <w:r w:rsidRPr="004F093E">
        <w:t>On or before</w:t>
      </w:r>
      <w:r w:rsidR="0037454B" w:rsidRPr="004F093E">
        <w:t xml:space="preserve"> [Day 135] each party </w:t>
      </w:r>
      <w:r w:rsidR="00EA3728">
        <w:t>must</w:t>
      </w:r>
      <w:r w:rsidR="0037454B" w:rsidRPr="004F093E">
        <w:t xml:space="preserve"> notify the other of the documents or other information exchanged in the arbitration which it intends to use or place in evidence at the hearing and the witnesses from </w:t>
      </w:r>
      <w:r w:rsidR="00102C8F">
        <w:t>an</w:t>
      </w:r>
      <w:r w:rsidR="0037454B" w:rsidRPr="004F093E">
        <w:t xml:space="preserve">other </w:t>
      </w:r>
      <w:r w:rsidR="00533926" w:rsidRPr="004F093E">
        <w:t>part</w:t>
      </w:r>
      <w:r w:rsidR="00102C8F">
        <w:t>y</w:t>
      </w:r>
      <w:r w:rsidR="0037454B" w:rsidRPr="004F093E">
        <w:t xml:space="preserve"> it requires to be produced at the hearing for cross</w:t>
      </w:r>
      <w:r w:rsidR="0022004E">
        <w:t>-</w:t>
      </w:r>
      <w:r w:rsidR="0037454B" w:rsidRPr="004F093E">
        <w:t>examination.</w:t>
      </w:r>
    </w:p>
    <w:p w14:paraId="5DEA3CC8" w14:textId="2944BA10" w:rsidR="0037454B" w:rsidRPr="004F093E" w:rsidRDefault="0037454B" w:rsidP="00691D90">
      <w:pPr>
        <w:pStyle w:val="AwardParagraphs"/>
      </w:pPr>
      <w:r w:rsidRPr="004F093E">
        <w:t xml:space="preserve">Any issue as to the authenticity or admissibility of </w:t>
      </w:r>
      <w:r w:rsidR="00E319B1" w:rsidRPr="004F093E">
        <w:t>a</w:t>
      </w:r>
      <w:r w:rsidRPr="004F093E">
        <w:t xml:space="preserve"> document that a party indicate</w:t>
      </w:r>
      <w:r w:rsidR="003876AC" w:rsidRPr="004F093E">
        <w:t>s</w:t>
      </w:r>
      <w:r w:rsidRPr="004F093E">
        <w:t xml:space="preserve"> it intends to use or place in evidence at the hearing </w:t>
      </w:r>
      <w:r w:rsidR="00566080" w:rsidRPr="004F093E">
        <w:t xml:space="preserve">must </w:t>
      </w:r>
      <w:r w:rsidRPr="004F093E">
        <w:t xml:space="preserve">be raised without undue delay and, in any event, </w:t>
      </w:r>
      <w:r w:rsidR="002C6500" w:rsidRPr="004F093E">
        <w:t>on or before</w:t>
      </w:r>
      <w:r w:rsidRPr="004F093E">
        <w:t xml:space="preserve"> [Day 165]. Where the authenticity or admissibility of any document is disputed, the tribunal </w:t>
      </w:r>
      <w:r w:rsidR="00EA3728">
        <w:t>will</w:t>
      </w:r>
      <w:r w:rsidRPr="004F093E">
        <w:t xml:space="preserve"> give directions, if necessary, as to how and when further proof of authenticity may be provided. In the absence of any objection, the authenticity of all documents produced </w:t>
      </w:r>
      <w:r w:rsidR="00EA3728">
        <w:t>will</w:t>
      </w:r>
      <w:r w:rsidRPr="004F093E">
        <w:t xml:space="preserve"> be presumed.</w:t>
      </w:r>
    </w:p>
    <w:p w14:paraId="7E2AA50C" w14:textId="77777777" w:rsidR="0037454B" w:rsidRPr="004F093E" w:rsidRDefault="0037454B" w:rsidP="001A4DAB">
      <w:pPr>
        <w:pStyle w:val="Heading1"/>
        <w:rPr>
          <w:rFonts w:ascii="Seaford" w:hAnsi="Seaford"/>
        </w:rPr>
      </w:pPr>
      <w:r w:rsidRPr="004F093E">
        <w:rPr>
          <w:rFonts w:ascii="Seaford" w:hAnsi="Seaford"/>
        </w:rPr>
        <w:t>Pre-Hearing Delivery of Material</w:t>
      </w:r>
    </w:p>
    <w:p w14:paraId="450AC488" w14:textId="47C50B64" w:rsidR="0037454B" w:rsidRPr="004F093E" w:rsidRDefault="0037454B" w:rsidP="00691D90">
      <w:pPr>
        <w:pStyle w:val="AwardParagraphs"/>
      </w:pPr>
      <w:r w:rsidRPr="004F093E">
        <w:t xml:space="preserve">On or before [Day 210] the parties </w:t>
      </w:r>
      <w:r w:rsidR="00EA3728">
        <w:t>must</w:t>
      </w:r>
      <w:r w:rsidRPr="004F093E">
        <w:t xml:space="preserve"> provide to the tribunal in digital form an arbitration record containing</w:t>
      </w:r>
      <w:r w:rsidR="00BD2AB3">
        <w:t>, as separate documents</w:t>
      </w:r>
      <w:r w:rsidRPr="004F093E">
        <w:t>:</w:t>
      </w:r>
    </w:p>
    <w:p w14:paraId="492262F5" w14:textId="15E2F527" w:rsidR="0037454B" w:rsidRPr="004F093E" w:rsidRDefault="0037454B" w:rsidP="002938BC">
      <w:pPr>
        <w:pStyle w:val="ListParagraph"/>
        <w:numPr>
          <w:ilvl w:val="0"/>
          <w:numId w:val="7"/>
        </w:numPr>
        <w:rPr>
          <w:sz w:val="24"/>
          <w:szCs w:val="24"/>
        </w:rPr>
      </w:pPr>
      <w:r w:rsidRPr="004F093E">
        <w:rPr>
          <w:sz w:val="24"/>
          <w:szCs w:val="24"/>
        </w:rPr>
        <w:t xml:space="preserve">all pleadings, </w:t>
      </w:r>
    </w:p>
    <w:p w14:paraId="473B2AC5" w14:textId="79D5B560" w:rsidR="0037454B" w:rsidRPr="004F093E" w:rsidRDefault="0037454B" w:rsidP="002938BC">
      <w:pPr>
        <w:pStyle w:val="ListParagraph"/>
        <w:numPr>
          <w:ilvl w:val="0"/>
          <w:numId w:val="7"/>
        </w:numPr>
        <w:rPr>
          <w:sz w:val="24"/>
          <w:szCs w:val="24"/>
        </w:rPr>
      </w:pPr>
      <w:r w:rsidRPr="004F093E">
        <w:rPr>
          <w:sz w:val="24"/>
          <w:szCs w:val="24"/>
        </w:rPr>
        <w:t>all orders and directions of the Tribunal</w:t>
      </w:r>
      <w:r w:rsidR="001E66D1">
        <w:rPr>
          <w:sz w:val="24"/>
          <w:szCs w:val="24"/>
        </w:rPr>
        <w:t>,</w:t>
      </w:r>
    </w:p>
    <w:p w14:paraId="43E49245" w14:textId="7C244769" w:rsidR="0037454B" w:rsidRPr="004F093E" w:rsidRDefault="0037454B" w:rsidP="002938BC">
      <w:pPr>
        <w:pStyle w:val="ListParagraph"/>
        <w:numPr>
          <w:ilvl w:val="0"/>
          <w:numId w:val="7"/>
        </w:numPr>
        <w:rPr>
          <w:sz w:val="24"/>
          <w:szCs w:val="24"/>
        </w:rPr>
      </w:pPr>
      <w:r w:rsidRPr="004F093E">
        <w:rPr>
          <w:sz w:val="24"/>
          <w:szCs w:val="24"/>
        </w:rPr>
        <w:t>copies of witness statements exchanged between the parties</w:t>
      </w:r>
      <w:r w:rsidR="001E66D1">
        <w:rPr>
          <w:sz w:val="24"/>
          <w:szCs w:val="24"/>
        </w:rPr>
        <w:t>,</w:t>
      </w:r>
    </w:p>
    <w:p w14:paraId="32CC3E94" w14:textId="70E0A3F1" w:rsidR="0037454B" w:rsidRPr="004F093E" w:rsidRDefault="0037454B" w:rsidP="002938BC">
      <w:pPr>
        <w:pStyle w:val="ListParagraph"/>
        <w:numPr>
          <w:ilvl w:val="0"/>
          <w:numId w:val="7"/>
        </w:numPr>
        <w:rPr>
          <w:sz w:val="24"/>
          <w:szCs w:val="24"/>
        </w:rPr>
      </w:pPr>
      <w:r w:rsidRPr="004F093E">
        <w:rPr>
          <w:sz w:val="24"/>
          <w:szCs w:val="24"/>
        </w:rPr>
        <w:t>copies of expert reports exchanged between the parties</w:t>
      </w:r>
      <w:r w:rsidR="001E66D1">
        <w:rPr>
          <w:sz w:val="24"/>
          <w:szCs w:val="24"/>
        </w:rPr>
        <w:t>,</w:t>
      </w:r>
    </w:p>
    <w:p w14:paraId="6089819D" w14:textId="5C5F5DED" w:rsidR="0037454B" w:rsidRPr="004F093E" w:rsidRDefault="00AF5A83" w:rsidP="002938BC">
      <w:pPr>
        <w:pStyle w:val="ListParagraph"/>
        <w:numPr>
          <w:ilvl w:val="0"/>
          <w:numId w:val="7"/>
        </w:numPr>
        <w:rPr>
          <w:sz w:val="24"/>
          <w:szCs w:val="24"/>
        </w:rPr>
      </w:pPr>
      <w:r w:rsidRPr="004F093E">
        <w:rPr>
          <w:sz w:val="24"/>
          <w:szCs w:val="24"/>
        </w:rPr>
        <w:t>a</w:t>
      </w:r>
      <w:r w:rsidR="0037454B" w:rsidRPr="004F093E">
        <w:rPr>
          <w:sz w:val="24"/>
          <w:szCs w:val="24"/>
        </w:rPr>
        <w:t xml:space="preserve"> joint brief containing all exhibits to witness statements</w:t>
      </w:r>
      <w:r w:rsidR="005665B1" w:rsidRPr="004F093E">
        <w:rPr>
          <w:sz w:val="24"/>
          <w:szCs w:val="24"/>
        </w:rPr>
        <w:t xml:space="preserve"> and </w:t>
      </w:r>
      <w:r w:rsidR="0037454B" w:rsidRPr="004F093E">
        <w:rPr>
          <w:sz w:val="24"/>
          <w:szCs w:val="24"/>
        </w:rPr>
        <w:t xml:space="preserve">documents of which </w:t>
      </w:r>
      <w:r w:rsidR="008620A2" w:rsidRPr="004F093E">
        <w:rPr>
          <w:sz w:val="24"/>
          <w:szCs w:val="24"/>
        </w:rPr>
        <w:t xml:space="preserve">a party has </w:t>
      </w:r>
      <w:r w:rsidR="0037454B" w:rsidRPr="004F093E">
        <w:rPr>
          <w:sz w:val="24"/>
          <w:szCs w:val="24"/>
        </w:rPr>
        <w:t xml:space="preserve">provided notice that </w:t>
      </w:r>
      <w:r w:rsidR="008620A2" w:rsidRPr="004F093E">
        <w:rPr>
          <w:sz w:val="24"/>
          <w:szCs w:val="24"/>
        </w:rPr>
        <w:t>it</w:t>
      </w:r>
      <w:r w:rsidR="0037454B" w:rsidRPr="004F093E">
        <w:rPr>
          <w:sz w:val="24"/>
          <w:szCs w:val="24"/>
        </w:rPr>
        <w:t xml:space="preserve"> intend</w:t>
      </w:r>
      <w:r w:rsidR="008620A2" w:rsidRPr="004F093E">
        <w:rPr>
          <w:sz w:val="24"/>
          <w:szCs w:val="24"/>
        </w:rPr>
        <w:t>s</w:t>
      </w:r>
      <w:r w:rsidR="0037454B" w:rsidRPr="004F093E">
        <w:rPr>
          <w:sz w:val="24"/>
          <w:szCs w:val="24"/>
        </w:rPr>
        <w:t xml:space="preserve"> to use or place in evidence at the hearing, in chronological order, indexed and tabbed</w:t>
      </w:r>
      <w:r w:rsidR="001E66D1">
        <w:rPr>
          <w:sz w:val="24"/>
          <w:szCs w:val="24"/>
        </w:rPr>
        <w:t>,</w:t>
      </w:r>
    </w:p>
    <w:p w14:paraId="163E59AD" w14:textId="5A25E7CB" w:rsidR="0037454B" w:rsidRPr="004F093E" w:rsidRDefault="008620A2" w:rsidP="002938BC">
      <w:pPr>
        <w:pStyle w:val="ListParagraph"/>
        <w:numPr>
          <w:ilvl w:val="0"/>
          <w:numId w:val="7"/>
        </w:numPr>
        <w:rPr>
          <w:sz w:val="24"/>
          <w:szCs w:val="24"/>
        </w:rPr>
      </w:pPr>
      <w:r w:rsidRPr="004F093E">
        <w:rPr>
          <w:sz w:val="24"/>
          <w:szCs w:val="24"/>
        </w:rPr>
        <w:t>d</w:t>
      </w:r>
      <w:r w:rsidR="0037454B" w:rsidRPr="004F093E">
        <w:rPr>
          <w:sz w:val="24"/>
          <w:szCs w:val="24"/>
        </w:rPr>
        <w:t xml:space="preserve">isclosure of information or documents from one </w:t>
      </w:r>
      <w:r w:rsidR="00363136" w:rsidRPr="004F093E">
        <w:rPr>
          <w:sz w:val="24"/>
          <w:szCs w:val="24"/>
        </w:rPr>
        <w:t>party</w:t>
      </w:r>
      <w:r w:rsidR="0037454B" w:rsidRPr="004F093E">
        <w:rPr>
          <w:sz w:val="24"/>
          <w:szCs w:val="24"/>
        </w:rPr>
        <w:t xml:space="preserve"> which </w:t>
      </w:r>
      <w:r w:rsidR="00F0385A" w:rsidRPr="004F093E">
        <w:rPr>
          <w:sz w:val="24"/>
          <w:szCs w:val="24"/>
        </w:rPr>
        <w:t xml:space="preserve">another party </w:t>
      </w:r>
      <w:r w:rsidR="0037454B" w:rsidRPr="004F093E">
        <w:rPr>
          <w:sz w:val="24"/>
          <w:szCs w:val="24"/>
        </w:rPr>
        <w:t>intends to refer to or rely upon at the hearing</w:t>
      </w:r>
      <w:r w:rsidR="002F51A9">
        <w:rPr>
          <w:sz w:val="24"/>
          <w:szCs w:val="24"/>
        </w:rPr>
        <w:t>, and</w:t>
      </w:r>
    </w:p>
    <w:p w14:paraId="7102FC10" w14:textId="144F6E52" w:rsidR="0037454B" w:rsidRPr="004F093E" w:rsidRDefault="008620A2" w:rsidP="002938BC">
      <w:pPr>
        <w:pStyle w:val="ListParagraph"/>
        <w:numPr>
          <w:ilvl w:val="0"/>
          <w:numId w:val="7"/>
        </w:numPr>
        <w:rPr>
          <w:sz w:val="24"/>
          <w:szCs w:val="24"/>
        </w:rPr>
      </w:pPr>
      <w:r w:rsidRPr="004F093E">
        <w:rPr>
          <w:sz w:val="24"/>
          <w:szCs w:val="24"/>
        </w:rPr>
        <w:t xml:space="preserve">a </w:t>
      </w:r>
      <w:r w:rsidR="0037454B" w:rsidRPr="004F093E">
        <w:rPr>
          <w:sz w:val="24"/>
          <w:szCs w:val="24"/>
        </w:rPr>
        <w:t>hearing schedule setting out the proposed order of proceeding at the hearing, including any preliminary motions, closing statements, the order in which witnesses will be examined, and the anticipated time required for the examination of each witness.</w:t>
      </w:r>
    </w:p>
    <w:p w14:paraId="1A8CF730" w14:textId="1333ACDC" w:rsidR="0037454B" w:rsidRPr="004F093E" w:rsidRDefault="0037454B" w:rsidP="00691D90">
      <w:pPr>
        <w:pStyle w:val="AwardParagraphs"/>
      </w:pPr>
      <w:r w:rsidRPr="004F093E">
        <w:t xml:space="preserve">If the parties are unable to agree as to any of the above, </w:t>
      </w:r>
      <w:r w:rsidR="004B2220" w:rsidRPr="004F093E">
        <w:t xml:space="preserve">they must </w:t>
      </w:r>
      <w:r w:rsidRPr="004F093E">
        <w:t>initiate a conference with the tribunal to resolve the issue.</w:t>
      </w:r>
    </w:p>
    <w:p w14:paraId="2CF3AC34" w14:textId="097C37E4" w:rsidR="0037454B" w:rsidRPr="004F093E" w:rsidRDefault="007D6D6B" w:rsidP="00691D90">
      <w:pPr>
        <w:pStyle w:val="AwardParagraphs"/>
      </w:pPr>
      <w:r>
        <w:t xml:space="preserve">Anything in the arbitration record </w:t>
      </w:r>
      <w:r w:rsidR="0037454B" w:rsidRPr="004F093E">
        <w:t xml:space="preserve">containing more than one document </w:t>
      </w:r>
      <w:r w:rsidR="00BD2AB3">
        <w:t>must</w:t>
      </w:r>
      <w:r w:rsidR="0037454B" w:rsidRPr="004F093E">
        <w:t xml:space="preserve"> </w:t>
      </w:r>
      <w:r w:rsidR="002D0824">
        <w:t>include</w:t>
      </w:r>
      <w:r w:rsidR="00900D5F" w:rsidRPr="004F093E">
        <w:t>, or be accompanied by,</w:t>
      </w:r>
      <w:r w:rsidR="0037454B" w:rsidRPr="004F093E">
        <w:t xml:space="preserve"> a hyperlinked table of contents and bookmarks for each document</w:t>
      </w:r>
      <w:r w:rsidR="00706771">
        <w:t xml:space="preserve">. </w:t>
      </w:r>
      <w:r w:rsidR="0037454B" w:rsidRPr="004F093E">
        <w:t xml:space="preserve">Bookmarks </w:t>
      </w:r>
      <w:r w:rsidR="00BD2AB3">
        <w:t>must</w:t>
      </w:r>
      <w:r w:rsidR="0037454B" w:rsidRPr="004F093E">
        <w:t xml:space="preserve"> contain information that describes the document, i.e. not just </w:t>
      </w:r>
      <w:r w:rsidR="00CE6844" w:rsidRPr="004F093E">
        <w:t>t</w:t>
      </w:r>
      <w:r w:rsidR="0037454B" w:rsidRPr="004F093E">
        <w:t>ab numbers</w:t>
      </w:r>
      <w:r w:rsidR="00706771">
        <w:t xml:space="preserve">. </w:t>
      </w:r>
    </w:p>
    <w:p w14:paraId="1B221079" w14:textId="482A6178" w:rsidR="0037454B" w:rsidRPr="004F093E" w:rsidRDefault="0037454B" w:rsidP="00691D90">
      <w:pPr>
        <w:pStyle w:val="AwardParagraphs"/>
      </w:pPr>
      <w:r w:rsidRPr="004F093E">
        <w:t xml:space="preserve">Written submissions should, where possible, include hyperlinks to </w:t>
      </w:r>
      <w:r w:rsidR="00A4491A">
        <w:t>referenced</w:t>
      </w:r>
      <w:r w:rsidRPr="004F093E">
        <w:t xml:space="preserve"> documents, e.g. exhibits or legal authorities.</w:t>
      </w:r>
    </w:p>
    <w:p w14:paraId="04DEB3AC" w14:textId="7E452693" w:rsidR="0037454B" w:rsidRPr="004F093E" w:rsidRDefault="0037454B" w:rsidP="00691D90">
      <w:pPr>
        <w:pStyle w:val="AwardParagraphs"/>
      </w:pPr>
      <w:r w:rsidRPr="004F093E">
        <w:t xml:space="preserve">On or before [Day 250] the parties </w:t>
      </w:r>
      <w:r w:rsidR="00BD2AB3">
        <w:t>must</w:t>
      </w:r>
      <w:r w:rsidRPr="004F093E">
        <w:t xml:space="preserve"> deliver any pre-hearing written submission that </w:t>
      </w:r>
      <w:r w:rsidR="00CE6844" w:rsidRPr="004F093E">
        <w:t xml:space="preserve">they wish </w:t>
      </w:r>
      <w:r w:rsidRPr="004F093E">
        <w:t>to submit, along with copies of any key cases or other authorities with important passages highlighted and tabbed.</w:t>
      </w:r>
    </w:p>
    <w:p w14:paraId="6E9F8C6C" w14:textId="77777777" w:rsidR="0037454B" w:rsidRPr="004F093E" w:rsidRDefault="0037454B" w:rsidP="0084778B">
      <w:pPr>
        <w:pStyle w:val="Heading1"/>
        <w:rPr>
          <w:rFonts w:ascii="Seaford" w:hAnsi="Seaford"/>
        </w:rPr>
      </w:pPr>
      <w:r w:rsidRPr="004F093E">
        <w:rPr>
          <w:rFonts w:ascii="Seaford" w:hAnsi="Seaford"/>
        </w:rPr>
        <w:t>Privacy and Security Regarding Evidence</w:t>
      </w:r>
    </w:p>
    <w:p w14:paraId="79DAFB40" w14:textId="129C47FB" w:rsidR="0037454B" w:rsidRPr="004F093E" w:rsidRDefault="0037454B" w:rsidP="00691D90">
      <w:pPr>
        <w:pStyle w:val="AwardParagraphs"/>
      </w:pPr>
      <w:r w:rsidRPr="004F093E">
        <w:t xml:space="preserve">Each party and its counsel are responsible </w:t>
      </w:r>
      <w:r w:rsidR="00E561B7" w:rsidRPr="004F093E">
        <w:t xml:space="preserve">to ensure </w:t>
      </w:r>
      <w:r w:rsidRPr="004F093E">
        <w:t>that all relevant privacy and data security requirements prescribed by law or contract in relation to evidence put forward by that party are complied with, and that the tribunal is made aware of any steps that the tribunal needs to take in that regard.</w:t>
      </w:r>
    </w:p>
    <w:p w14:paraId="60E5B55E" w14:textId="12AE71A2" w:rsidR="0037454B" w:rsidRPr="004F093E" w:rsidRDefault="0037454B" w:rsidP="0084778B">
      <w:pPr>
        <w:pStyle w:val="Heading1"/>
        <w:rPr>
          <w:rFonts w:ascii="Seaford" w:hAnsi="Seaford"/>
        </w:rPr>
      </w:pPr>
      <w:r w:rsidRPr="004F093E">
        <w:rPr>
          <w:rFonts w:ascii="Seaford" w:hAnsi="Seaford"/>
        </w:rPr>
        <w:t>The Hearing</w:t>
      </w:r>
    </w:p>
    <w:p w14:paraId="676BBF5F" w14:textId="0584D26C" w:rsidR="0037454B" w:rsidRPr="004F093E" w:rsidRDefault="0037454B" w:rsidP="008150C5">
      <w:pPr>
        <w:pStyle w:val="AwardParagraphs"/>
      </w:pPr>
      <w:r w:rsidRPr="004F093E">
        <w:t xml:space="preserve">The hearing </w:t>
      </w:r>
      <w:r w:rsidR="00BD2AB3">
        <w:t>will</w:t>
      </w:r>
      <w:r w:rsidRPr="004F093E">
        <w:t xml:space="preserve"> take place on weekdays from [Day 260 to Day 265]. </w:t>
      </w:r>
    </w:p>
    <w:p w14:paraId="2B9992C1" w14:textId="1A10CD78" w:rsidR="0037454B" w:rsidRPr="004F093E" w:rsidRDefault="0037454B" w:rsidP="008150C5">
      <w:pPr>
        <w:pStyle w:val="AwardParagraphs"/>
      </w:pPr>
      <w:r w:rsidRPr="004F093E">
        <w:t xml:space="preserve">If the parties agree, or if the tribunal so directs after hearing submissions, some or </w:t>
      </w:r>
      <w:proofErr w:type="gramStart"/>
      <w:r w:rsidRPr="004F093E">
        <w:t>all of</w:t>
      </w:r>
      <w:proofErr w:type="gramEnd"/>
      <w:r w:rsidRPr="004F093E">
        <w:t xml:space="preserve"> the hearing may be conducted virtually.</w:t>
      </w:r>
    </w:p>
    <w:p w14:paraId="3D9FB787" w14:textId="41D0EBFF" w:rsidR="0037454B" w:rsidRPr="004F093E" w:rsidRDefault="0037454B" w:rsidP="008150C5">
      <w:pPr>
        <w:pStyle w:val="AwardParagraphs"/>
      </w:pPr>
      <w:r w:rsidRPr="004F093E">
        <w:t xml:space="preserve">The hearing </w:t>
      </w:r>
      <w:r w:rsidR="00BD2AB3">
        <w:t>will</w:t>
      </w:r>
      <w:r w:rsidRPr="004F093E">
        <w:t xml:space="preserve"> be held in private. Attendance at the hearing </w:t>
      </w:r>
      <w:r w:rsidR="00BD2AB3">
        <w:t>will</w:t>
      </w:r>
      <w:r w:rsidRPr="004F093E">
        <w:t xml:space="preserve"> be restricted to those whose presence has been agreed by the parties or allowed by the tribunal.</w:t>
      </w:r>
    </w:p>
    <w:p w14:paraId="39794143" w14:textId="59145A08" w:rsidR="00486E05" w:rsidRPr="004F093E" w:rsidRDefault="00486E05" w:rsidP="008150C5">
      <w:pPr>
        <w:pStyle w:val="AwardParagraphs"/>
      </w:pPr>
      <w:r w:rsidRPr="004F093E">
        <w:t>Closing submissions may be made:</w:t>
      </w:r>
    </w:p>
    <w:p w14:paraId="1D48304B" w14:textId="1D7F97AC" w:rsidR="00A21E98" w:rsidRPr="004F093E" w:rsidRDefault="00335C96" w:rsidP="00486E05">
      <w:pPr>
        <w:pStyle w:val="ListParagraph"/>
        <w:numPr>
          <w:ilvl w:val="0"/>
          <w:numId w:val="11"/>
        </w:numPr>
        <w:rPr>
          <w:sz w:val="24"/>
          <w:szCs w:val="24"/>
        </w:rPr>
      </w:pPr>
      <w:r w:rsidRPr="004F093E">
        <w:rPr>
          <w:sz w:val="24"/>
          <w:szCs w:val="24"/>
        </w:rPr>
        <w:t xml:space="preserve">orally </w:t>
      </w:r>
      <w:r w:rsidR="00A21E98" w:rsidRPr="004F093E">
        <w:rPr>
          <w:sz w:val="24"/>
          <w:szCs w:val="24"/>
        </w:rPr>
        <w:t>at the conclusion of the evidentiary portion o</w:t>
      </w:r>
      <w:r w:rsidR="00FC1C23">
        <w:rPr>
          <w:sz w:val="24"/>
          <w:szCs w:val="24"/>
        </w:rPr>
        <w:t>f</w:t>
      </w:r>
      <w:r w:rsidR="00A21E98" w:rsidRPr="004F093E">
        <w:rPr>
          <w:sz w:val="24"/>
          <w:szCs w:val="24"/>
        </w:rPr>
        <w:t xml:space="preserve"> the hearing</w:t>
      </w:r>
      <w:r w:rsidR="0037454B" w:rsidRPr="004F093E">
        <w:rPr>
          <w:sz w:val="24"/>
          <w:szCs w:val="24"/>
        </w:rPr>
        <w:t xml:space="preserve">, </w:t>
      </w:r>
      <w:r w:rsidR="00FC1C23">
        <w:rPr>
          <w:sz w:val="24"/>
          <w:szCs w:val="24"/>
        </w:rPr>
        <w:t>or</w:t>
      </w:r>
    </w:p>
    <w:p w14:paraId="33507F79" w14:textId="42EA6AD7" w:rsidR="0037454B" w:rsidRPr="004F093E" w:rsidRDefault="00335C96" w:rsidP="00486E05">
      <w:pPr>
        <w:pStyle w:val="ListParagraph"/>
        <w:numPr>
          <w:ilvl w:val="0"/>
          <w:numId w:val="11"/>
        </w:numPr>
        <w:rPr>
          <w:sz w:val="24"/>
          <w:szCs w:val="24"/>
        </w:rPr>
      </w:pPr>
      <w:r w:rsidRPr="004F093E">
        <w:rPr>
          <w:sz w:val="24"/>
          <w:szCs w:val="24"/>
        </w:rPr>
        <w:t xml:space="preserve">in writing </w:t>
      </w:r>
      <w:r w:rsidR="0037454B" w:rsidRPr="004F093E">
        <w:rPr>
          <w:sz w:val="24"/>
          <w:szCs w:val="24"/>
        </w:rPr>
        <w:t xml:space="preserve">at such time as the parties </w:t>
      </w:r>
      <w:r w:rsidRPr="004F093E">
        <w:rPr>
          <w:sz w:val="24"/>
          <w:szCs w:val="24"/>
        </w:rPr>
        <w:t xml:space="preserve">agree </w:t>
      </w:r>
      <w:r w:rsidR="0037454B" w:rsidRPr="004F093E">
        <w:rPr>
          <w:sz w:val="24"/>
          <w:szCs w:val="24"/>
        </w:rPr>
        <w:t>or the tribunal</w:t>
      </w:r>
      <w:r w:rsidR="009761E9" w:rsidRPr="004F093E">
        <w:rPr>
          <w:sz w:val="24"/>
          <w:szCs w:val="24"/>
        </w:rPr>
        <w:t xml:space="preserve"> directs</w:t>
      </w:r>
      <w:r w:rsidR="0037454B" w:rsidRPr="004F093E">
        <w:rPr>
          <w:sz w:val="24"/>
          <w:szCs w:val="24"/>
        </w:rPr>
        <w:t>.</w:t>
      </w:r>
    </w:p>
    <w:p w14:paraId="32371F19" w14:textId="1B223218" w:rsidR="0037454B" w:rsidRPr="004F093E" w:rsidRDefault="0037454B" w:rsidP="00FA098F">
      <w:pPr>
        <w:pStyle w:val="AwardParagraphs"/>
      </w:pPr>
      <w:r w:rsidRPr="004F093E">
        <w:t xml:space="preserve">The hearing </w:t>
      </w:r>
      <w:r w:rsidR="00BD2AB3">
        <w:t>will</w:t>
      </w:r>
      <w:r w:rsidRPr="004F093E">
        <w:t xml:space="preserve"> be at any location upon which the parties agree, or as the </w:t>
      </w:r>
      <w:r w:rsidR="00EE68E2" w:rsidRPr="004F093E">
        <w:t>t</w:t>
      </w:r>
      <w:r w:rsidRPr="004F093E">
        <w:t>ribunal direct</w:t>
      </w:r>
      <w:r w:rsidR="009761E9" w:rsidRPr="004F093E">
        <w:t>s</w:t>
      </w:r>
      <w:r w:rsidRPr="004F093E">
        <w:t xml:space="preserve">. Costs relating to the hearing facility </w:t>
      </w:r>
      <w:r w:rsidR="00BD2AB3">
        <w:t>will</w:t>
      </w:r>
      <w:r w:rsidRPr="004F093E">
        <w:t xml:space="preserve"> be borne equally by </w:t>
      </w:r>
      <w:r w:rsidR="00EA6526">
        <w:t>the parties</w:t>
      </w:r>
      <w:r w:rsidRPr="004F093E">
        <w:t>, subject to reallocation among the parties pursuant to any cost order made by the tribunal.</w:t>
      </w:r>
    </w:p>
    <w:p w14:paraId="07B0C945" w14:textId="20CFB3C1" w:rsidR="0037454B" w:rsidRPr="004F093E" w:rsidRDefault="0037454B" w:rsidP="00FA098F">
      <w:pPr>
        <w:pStyle w:val="AwardParagraphs"/>
      </w:pPr>
      <w:r w:rsidRPr="004F093E">
        <w:t xml:space="preserve">The hearing </w:t>
      </w:r>
      <w:r w:rsidR="00BD2AB3">
        <w:t>will</w:t>
      </w:r>
      <w:r w:rsidRPr="004F093E">
        <w:t xml:space="preserve"> be transcribed and or recorded, if requested by any party, or if directed by the tribunal after hearing submissions</w:t>
      </w:r>
      <w:r w:rsidR="00F4563D" w:rsidRPr="004F093E">
        <w:t xml:space="preserve"> from the parties</w:t>
      </w:r>
      <w:r w:rsidRPr="004F093E">
        <w:t xml:space="preserve">. If the parties </w:t>
      </w:r>
      <w:r w:rsidR="00335BC3" w:rsidRPr="004F093E">
        <w:t xml:space="preserve">do not agree regarding </w:t>
      </w:r>
      <w:r w:rsidRPr="004F093E">
        <w:t xml:space="preserve">transcription and the </w:t>
      </w:r>
      <w:r w:rsidR="00335BC3" w:rsidRPr="004F093E">
        <w:t>t</w:t>
      </w:r>
      <w:r w:rsidRPr="004F093E">
        <w:t xml:space="preserve">ribunal has made no direction, costs relating to the transcripts </w:t>
      </w:r>
      <w:r w:rsidR="00BD2AB3">
        <w:t>will</w:t>
      </w:r>
      <w:r w:rsidRPr="004F093E">
        <w:t xml:space="preserve"> be borne by the party requesting the transcript, subject to any </w:t>
      </w:r>
      <w:r w:rsidR="00A852D5">
        <w:t xml:space="preserve">tribunal </w:t>
      </w:r>
      <w:r w:rsidRPr="004F093E">
        <w:t>direction after hearing submissions and subject to reallocation among the parties pursuant to any cost order made by the tribunal.</w:t>
      </w:r>
    </w:p>
    <w:p w14:paraId="2425FE9C" w14:textId="5E767F7F" w:rsidR="0037454B" w:rsidRPr="004F093E" w:rsidRDefault="0037454B" w:rsidP="00FA098F">
      <w:pPr>
        <w:pStyle w:val="AwardParagraphs"/>
      </w:pPr>
      <w:r w:rsidRPr="004F093E">
        <w:t xml:space="preserve">A witness who has provided a statement or report on behalf of a party </w:t>
      </w:r>
      <w:r w:rsidR="00BD2AB3">
        <w:t>must</w:t>
      </w:r>
      <w:r w:rsidRPr="004F093E">
        <w:t xml:space="preserve"> be made available for cross-examination at the hearing unless otherwise</w:t>
      </w:r>
      <w:r w:rsidR="00012066" w:rsidRPr="004F093E">
        <w:t xml:space="preserve"> agreed</w:t>
      </w:r>
      <w:r w:rsidRPr="004F093E">
        <w:t xml:space="preserve">. If a witness is unavailable for cross-examination, the admission into evidence and the weight to be attached to the statement </w:t>
      </w:r>
      <w:r w:rsidR="00BD2AB3">
        <w:t>will</w:t>
      </w:r>
      <w:r w:rsidRPr="004F093E">
        <w:t xml:space="preserve"> be in the discretion of the tribunal.</w:t>
      </w:r>
    </w:p>
    <w:p w14:paraId="60A57665" w14:textId="7CED4C36" w:rsidR="0037454B" w:rsidRPr="004F093E" w:rsidRDefault="004162C5" w:rsidP="00FA098F">
      <w:pPr>
        <w:pStyle w:val="AwardParagraphs"/>
      </w:pPr>
      <w:r w:rsidRPr="004F093E">
        <w:t xml:space="preserve">A </w:t>
      </w:r>
      <w:r w:rsidR="0037454B" w:rsidRPr="004F093E">
        <w:t>witness may be briefly examined</w:t>
      </w:r>
      <w:r w:rsidR="00CD78CF">
        <w:t xml:space="preserve">-in-chief </w:t>
      </w:r>
      <w:r w:rsidR="0037454B" w:rsidRPr="004F093E">
        <w:t xml:space="preserve">only for the purpose of introducing the witness and highlighting key aspects of the witness’ evidence, without adding any new evidence of substance. Such introductory examinations </w:t>
      </w:r>
      <w:r w:rsidR="00BD2AB3">
        <w:t>will</w:t>
      </w:r>
      <w:r w:rsidR="0037454B" w:rsidRPr="004F093E">
        <w:t xml:space="preserve"> not take more than </w:t>
      </w:r>
      <w:r w:rsidR="00CB51E7" w:rsidRPr="004F093E">
        <w:t>15</w:t>
      </w:r>
      <w:r w:rsidR="0037454B" w:rsidRPr="004F093E">
        <w:t xml:space="preserve"> minutes and </w:t>
      </w:r>
      <w:r w:rsidR="00CB51E7" w:rsidRPr="004F093E">
        <w:t>may</w:t>
      </w:r>
      <w:r w:rsidR="0037454B" w:rsidRPr="004F093E">
        <w:t xml:space="preserve"> be followed by cross-examination of the witness by other part</w:t>
      </w:r>
      <w:r w:rsidR="00556AEC" w:rsidRPr="004F093E">
        <w:t>ies</w:t>
      </w:r>
      <w:r w:rsidR="0037454B" w:rsidRPr="004F093E">
        <w:t>, re-examination if requested, and examination by the tribunal if desired.</w:t>
      </w:r>
    </w:p>
    <w:p w14:paraId="46BBE4B8" w14:textId="66564687" w:rsidR="0037454B" w:rsidRPr="004F093E" w:rsidRDefault="0037454B" w:rsidP="00FA098F">
      <w:pPr>
        <w:pStyle w:val="AwardParagraphs"/>
      </w:pPr>
      <w:r w:rsidRPr="004F093E">
        <w:t xml:space="preserve">By </w:t>
      </w:r>
      <w:r w:rsidR="00556AEC" w:rsidRPr="004F093E">
        <w:t>party agreement or tribunal direction</w:t>
      </w:r>
      <w:r w:rsidRPr="004F093E">
        <w:t xml:space="preserve">, the cross-examination of any witness may take place at a time and place other than the hearing referred to above. However, unless the parties agree otherwise, the tribunal </w:t>
      </w:r>
      <w:r w:rsidR="00BD2AB3">
        <w:t>will</w:t>
      </w:r>
      <w:r w:rsidRPr="004F093E">
        <w:t xml:space="preserve"> be present, in person or by </w:t>
      </w:r>
      <w:r w:rsidR="009E621C" w:rsidRPr="004F093E">
        <w:t>video, at</w:t>
      </w:r>
      <w:r w:rsidRPr="004F093E">
        <w:t xml:space="preserve"> any such cross-examination.</w:t>
      </w:r>
    </w:p>
    <w:p w14:paraId="3142537E" w14:textId="7DE16077" w:rsidR="0037454B" w:rsidRPr="004F093E" w:rsidRDefault="0037454B" w:rsidP="00FA098F">
      <w:pPr>
        <w:pStyle w:val="AwardParagraphs"/>
      </w:pPr>
      <w:r w:rsidRPr="004F093E">
        <w:t>No document that has not been placed on the arbitration record may be put to a witness in cross-examination unless:</w:t>
      </w:r>
    </w:p>
    <w:p w14:paraId="5889CAC9" w14:textId="467A7CF1" w:rsidR="0037454B" w:rsidRPr="004F093E" w:rsidRDefault="0037454B" w:rsidP="009E621C">
      <w:pPr>
        <w:pStyle w:val="ListParagraph"/>
        <w:numPr>
          <w:ilvl w:val="0"/>
          <w:numId w:val="9"/>
        </w:numPr>
        <w:rPr>
          <w:sz w:val="24"/>
          <w:szCs w:val="24"/>
        </w:rPr>
      </w:pPr>
      <w:r w:rsidRPr="004F093E">
        <w:rPr>
          <w:sz w:val="24"/>
          <w:szCs w:val="24"/>
        </w:rPr>
        <w:t>it is among the documents produced in the arbitration by; and</w:t>
      </w:r>
    </w:p>
    <w:p w14:paraId="39355BD5" w14:textId="04915C31" w:rsidR="0037454B" w:rsidRPr="004F093E" w:rsidRDefault="0037454B" w:rsidP="009E621C">
      <w:pPr>
        <w:pStyle w:val="ListParagraph"/>
        <w:numPr>
          <w:ilvl w:val="0"/>
          <w:numId w:val="9"/>
        </w:numPr>
        <w:rPr>
          <w:sz w:val="24"/>
          <w:szCs w:val="24"/>
        </w:rPr>
      </w:pPr>
      <w:r w:rsidRPr="004F093E">
        <w:rPr>
          <w:sz w:val="24"/>
          <w:szCs w:val="24"/>
        </w:rPr>
        <w:t xml:space="preserve">notice of the intention to put the document to the witness has been given to opposing counsel by no later than </w:t>
      </w:r>
      <w:r w:rsidR="00386BFB" w:rsidRPr="004F093E">
        <w:rPr>
          <w:sz w:val="24"/>
          <w:szCs w:val="24"/>
        </w:rPr>
        <w:t>5:00</w:t>
      </w:r>
      <w:r w:rsidRPr="004F093E">
        <w:rPr>
          <w:sz w:val="24"/>
          <w:szCs w:val="24"/>
        </w:rPr>
        <w:t xml:space="preserve"> pm on the day before the witness is expected to testify; or</w:t>
      </w:r>
    </w:p>
    <w:p w14:paraId="4F10D9E9" w14:textId="7511BBD8" w:rsidR="0037454B" w:rsidRPr="004F093E" w:rsidRDefault="0037454B" w:rsidP="009E621C">
      <w:pPr>
        <w:pStyle w:val="ListParagraph"/>
        <w:numPr>
          <w:ilvl w:val="0"/>
          <w:numId w:val="9"/>
        </w:numPr>
        <w:rPr>
          <w:sz w:val="24"/>
          <w:szCs w:val="24"/>
        </w:rPr>
      </w:pPr>
      <w:r w:rsidRPr="004F093E">
        <w:rPr>
          <w:sz w:val="24"/>
          <w:szCs w:val="24"/>
        </w:rPr>
        <w:t xml:space="preserve">leave is obtained from the </w:t>
      </w:r>
      <w:r w:rsidR="00386BFB" w:rsidRPr="004F093E">
        <w:rPr>
          <w:sz w:val="24"/>
          <w:szCs w:val="24"/>
        </w:rPr>
        <w:t>t</w:t>
      </w:r>
      <w:r w:rsidRPr="004F093E">
        <w:rPr>
          <w:sz w:val="24"/>
          <w:szCs w:val="24"/>
        </w:rPr>
        <w:t>ribunal.</w:t>
      </w:r>
    </w:p>
    <w:p w14:paraId="5484B030" w14:textId="222B0AB9" w:rsidR="0037454B" w:rsidRPr="004F093E" w:rsidRDefault="0037454B" w:rsidP="00FA098F">
      <w:pPr>
        <w:pStyle w:val="AwardParagraphs"/>
      </w:pPr>
      <w:r w:rsidRPr="004F093E">
        <w:t xml:space="preserve">Information presented in the arbitration </w:t>
      </w:r>
      <w:r w:rsidR="00BD2AB3">
        <w:t>will</w:t>
      </w:r>
      <w:r w:rsidRPr="004F093E">
        <w:t xml:space="preserve"> not be excluded </w:t>
      </w:r>
      <w:r w:rsidR="00B1532E" w:rsidRPr="004F093E">
        <w:t>based on</w:t>
      </w:r>
      <w:r w:rsidRPr="004F093E">
        <w:t xml:space="preserve"> legal rules of evidence (including the rules relating to hearsay and the “Rule in Browne v Dunn”). The law of privilege will </w:t>
      </w:r>
      <w:r w:rsidR="00ED0D82" w:rsidRPr="004F093E">
        <w:t>apply</w:t>
      </w:r>
      <w:r w:rsidRPr="004F093E">
        <w:t xml:space="preserve">. The tribunal </w:t>
      </w:r>
      <w:r w:rsidR="00BD2AB3">
        <w:t>will</w:t>
      </w:r>
      <w:r w:rsidRPr="004F093E">
        <w:t xml:space="preserve"> weigh the evidence based upon the submissions of the parties, and may exclude evidence that is immaterial, irrelevant, </w:t>
      </w:r>
      <w:r w:rsidR="00FF0EFE" w:rsidRPr="004F093E">
        <w:t>repetitive,</w:t>
      </w:r>
      <w:r w:rsidRPr="004F093E">
        <w:t xml:space="preserve"> or disproportionate to the point that is sought to be proved.</w:t>
      </w:r>
    </w:p>
    <w:p w14:paraId="758017FD" w14:textId="3ECD7806" w:rsidR="0086156E" w:rsidRPr="004F093E" w:rsidRDefault="0086156E" w:rsidP="0086156E">
      <w:pPr>
        <w:pStyle w:val="Heading1"/>
        <w:rPr>
          <w:rFonts w:ascii="Seaford" w:hAnsi="Seaford"/>
        </w:rPr>
      </w:pPr>
      <w:r w:rsidRPr="004F093E">
        <w:rPr>
          <w:rFonts w:ascii="Seaford" w:hAnsi="Seaford"/>
        </w:rPr>
        <w:t>Communication with Tribunal</w:t>
      </w:r>
    </w:p>
    <w:p w14:paraId="78D1DCFD" w14:textId="495B77BF" w:rsidR="003145AB" w:rsidRPr="004F093E" w:rsidRDefault="003145AB" w:rsidP="00FA098F">
      <w:pPr>
        <w:pStyle w:val="AwardParagraphs"/>
      </w:pPr>
      <w:r w:rsidRPr="004F093E">
        <w:t xml:space="preserve">No issue should be raised with the tribunal before it has been discussed between counsel. All communications with the tribunal </w:t>
      </w:r>
      <w:r w:rsidR="00BD2AB3">
        <w:t>must</w:t>
      </w:r>
      <w:r w:rsidRPr="004F093E">
        <w:t xml:space="preserve"> be copied to other </w:t>
      </w:r>
      <w:r w:rsidR="00386E65" w:rsidRPr="004F093E">
        <w:t>parties</w:t>
      </w:r>
      <w:r w:rsidRPr="004F093E">
        <w:t xml:space="preserve">. However, it is not necessary to obtain prior approval of </w:t>
      </w:r>
      <w:r w:rsidR="00386E65" w:rsidRPr="004F093E">
        <w:t xml:space="preserve">other parties </w:t>
      </w:r>
      <w:r w:rsidRPr="004F093E">
        <w:t xml:space="preserve">for the content of any communication to the tribunal. </w:t>
      </w:r>
    </w:p>
    <w:p w14:paraId="3BBF577F" w14:textId="613052BD" w:rsidR="00E6427F" w:rsidRPr="004F093E" w:rsidRDefault="003C27E2" w:rsidP="00FA098F">
      <w:pPr>
        <w:pStyle w:val="AwardParagraphs"/>
      </w:pPr>
      <w:r w:rsidRPr="004F093E">
        <w:t>All witness statements, expert reports</w:t>
      </w:r>
      <w:r w:rsidR="00DE28B5" w:rsidRPr="004F093E">
        <w:t>,</w:t>
      </w:r>
      <w:r w:rsidRPr="004F093E">
        <w:t xml:space="preserve"> documents</w:t>
      </w:r>
      <w:r w:rsidR="0009582D" w:rsidRPr="004F093E">
        <w:t xml:space="preserve">, </w:t>
      </w:r>
      <w:r w:rsidR="00FD36E5" w:rsidRPr="004F093E">
        <w:t>briefs,</w:t>
      </w:r>
      <w:r w:rsidR="00E95D2C" w:rsidRPr="004F093E">
        <w:t xml:space="preserve"> and </w:t>
      </w:r>
      <w:r w:rsidR="0009582D" w:rsidRPr="004F093E">
        <w:t>submissions</w:t>
      </w:r>
      <w:r w:rsidRPr="004F093E">
        <w:t xml:space="preserve"> </w:t>
      </w:r>
      <w:r w:rsidR="00E95D2C" w:rsidRPr="004F093E">
        <w:t xml:space="preserve">provided to the tribunal </w:t>
      </w:r>
      <w:r w:rsidR="00B5073E" w:rsidRPr="004F093E">
        <w:t xml:space="preserve">must be </w:t>
      </w:r>
      <w:r w:rsidR="00E95D2C" w:rsidRPr="004F093E">
        <w:t xml:space="preserve">as </w:t>
      </w:r>
      <w:r w:rsidR="00B5073E" w:rsidRPr="004F093E">
        <w:t>unrestricted and searchable PDFs</w:t>
      </w:r>
      <w:r w:rsidR="002C20FC" w:rsidRPr="004F093E">
        <w:t xml:space="preserve"> unless the content</w:t>
      </w:r>
      <w:r w:rsidR="009261E8" w:rsidRPr="004F093E">
        <w:t xml:space="preserve"> logically requires some other format</w:t>
      </w:r>
      <w:r w:rsidR="00B5073E" w:rsidRPr="004F093E">
        <w:t>.</w:t>
      </w:r>
    </w:p>
    <w:p w14:paraId="0167F48A" w14:textId="77777777" w:rsidR="0037454B" w:rsidRPr="004F093E" w:rsidRDefault="0037454B" w:rsidP="00FF0EFE">
      <w:pPr>
        <w:pStyle w:val="Heading1"/>
        <w:rPr>
          <w:rFonts w:ascii="Seaford" w:hAnsi="Seaford"/>
        </w:rPr>
      </w:pPr>
      <w:r w:rsidRPr="004F093E">
        <w:rPr>
          <w:rFonts w:ascii="Seaford" w:hAnsi="Seaford"/>
        </w:rPr>
        <w:t>Further Directions</w:t>
      </w:r>
    </w:p>
    <w:p w14:paraId="2135B6FB" w14:textId="28903B0A" w:rsidR="00E542A7" w:rsidRPr="004F093E" w:rsidRDefault="0037454B" w:rsidP="00FA098F">
      <w:pPr>
        <w:pStyle w:val="AwardParagraphs"/>
      </w:pPr>
      <w:r w:rsidRPr="004F093E">
        <w:t>Further directions may be given by or sought from the tribunal at any time</w:t>
      </w:r>
      <w:r w:rsidR="00FF0EFE" w:rsidRPr="004F093E">
        <w:t>.</w:t>
      </w:r>
    </w:p>
    <w:sectPr w:rsidR="00E542A7" w:rsidRPr="004F093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6916" w14:textId="77777777" w:rsidR="007E411F" w:rsidRDefault="007E411F" w:rsidP="00FF0EFE">
      <w:pPr>
        <w:spacing w:after="0"/>
      </w:pPr>
      <w:r>
        <w:separator/>
      </w:r>
    </w:p>
  </w:endnote>
  <w:endnote w:type="continuationSeparator" w:id="0">
    <w:p w14:paraId="50AEEA94" w14:textId="77777777" w:rsidR="007E411F" w:rsidRDefault="007E411F" w:rsidP="00FF0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aford">
    <w:panose1 w:val="020B0502030303020204"/>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062614"/>
      <w:docPartObj>
        <w:docPartGallery w:val="Page Numbers (Bottom of Page)"/>
        <w:docPartUnique/>
      </w:docPartObj>
    </w:sdtPr>
    <w:sdtEndPr>
      <w:rPr>
        <w:noProof/>
      </w:rPr>
    </w:sdtEndPr>
    <w:sdtContent>
      <w:p w14:paraId="1EF6AAB6" w14:textId="5AA5477E" w:rsidR="00FF0EFE" w:rsidRDefault="00FF0E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D6C064" w14:textId="77777777" w:rsidR="00FF0EFE" w:rsidRDefault="00FF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3BCB8" w14:textId="77777777" w:rsidR="007E411F" w:rsidRDefault="007E411F" w:rsidP="00FF0EFE">
      <w:pPr>
        <w:spacing w:after="0"/>
      </w:pPr>
      <w:r>
        <w:separator/>
      </w:r>
    </w:p>
  </w:footnote>
  <w:footnote w:type="continuationSeparator" w:id="0">
    <w:p w14:paraId="5AE2CE62" w14:textId="77777777" w:rsidR="007E411F" w:rsidRDefault="007E411F" w:rsidP="00FF0E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0A54" w14:textId="38E41874" w:rsidR="005E7E27" w:rsidRDefault="005E7E27">
    <w:pPr>
      <w:pStyle w:val="Header"/>
      <w:tabs>
        <w:tab w:val="clear" w:pos="4680"/>
        <w:tab w:val="clear" w:pos="9360"/>
      </w:tabs>
      <w:jc w:val="right"/>
      <w:rPr>
        <w:color w:val="4472C4" w:themeColor="accent1"/>
      </w:rPr>
    </w:pPr>
    <w:sdt>
      <w:sdtPr>
        <w:rPr>
          <w:color w:val="4472C4" w:themeColor="accent1"/>
        </w:rPr>
        <w:alias w:val="Title"/>
        <w:tag w:val=""/>
        <w:id w:val="664756013"/>
        <w:placeholder>
          <w:docPart w:val="E026F2878D8E4B168A4ED830352A0772"/>
        </w:placeholde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rPr>
          <w:t>Arbitration Procedural Order</w:t>
        </w:r>
      </w:sdtContent>
    </w:sdt>
    <w:r>
      <w:rPr>
        <w:color w:val="4472C4" w:themeColor="accent1"/>
      </w:rPr>
      <w:t xml:space="preserve"> | </w:t>
    </w:r>
    <w:sdt>
      <w:sdtPr>
        <w:rPr>
          <w:color w:val="4472C4" w:themeColor="accent1"/>
        </w:rPr>
        <w:alias w:val="Author"/>
        <w:tag w:val=""/>
        <w:id w:val="-1677181147"/>
        <w:placeholder>
          <w:docPart w:val="969F1622809740C59B296CFFD03E8EE8"/>
        </w:placeholder>
        <w:dataBinding w:prefixMappings="xmlns:ns0='http://purl.org/dc/elements/1.1/' xmlns:ns1='http://schemas.openxmlformats.org/package/2006/metadata/core-properties' " w:xpath="/ns1:coreProperties[1]/ns0:creator[1]" w:storeItemID="{6C3C8BC8-F283-45AE-878A-BAB7291924A1}"/>
        <w:text/>
      </w:sdtPr>
      <w:sdtContent>
        <w:r w:rsidR="00496330">
          <w:rPr>
            <w:color w:val="4472C4" w:themeColor="accent1"/>
          </w:rPr>
          <w:t>McCartneyADR.com</w:t>
        </w:r>
      </w:sdtContent>
    </w:sdt>
  </w:p>
  <w:p w14:paraId="358A42DF" w14:textId="77777777" w:rsidR="000F6C0F" w:rsidRDefault="000F6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4CE"/>
    <w:multiLevelType w:val="hybridMultilevel"/>
    <w:tmpl w:val="1D16323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215E43"/>
    <w:multiLevelType w:val="hybridMultilevel"/>
    <w:tmpl w:val="E2768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E32D7E"/>
    <w:multiLevelType w:val="hybridMultilevel"/>
    <w:tmpl w:val="20943DF4"/>
    <w:lvl w:ilvl="0" w:tplc="EA40177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CE0FA5"/>
    <w:multiLevelType w:val="hybridMultilevel"/>
    <w:tmpl w:val="D65E7D24"/>
    <w:lvl w:ilvl="0" w:tplc="ACBAF6E4">
      <w:start w:val="1"/>
      <w:numFmt w:val="decimal"/>
      <w:pStyle w:val="AwardParagraphs"/>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C4751BB"/>
    <w:multiLevelType w:val="hybridMultilevel"/>
    <w:tmpl w:val="6F9E8CC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F14E2D"/>
    <w:multiLevelType w:val="hybridMultilevel"/>
    <w:tmpl w:val="1674E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00001C2"/>
    <w:multiLevelType w:val="hybridMultilevel"/>
    <w:tmpl w:val="3B34829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134507"/>
    <w:multiLevelType w:val="hybridMultilevel"/>
    <w:tmpl w:val="6B52B4A8"/>
    <w:lvl w:ilvl="0" w:tplc="DC1E148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16F73A6"/>
    <w:multiLevelType w:val="hybridMultilevel"/>
    <w:tmpl w:val="7E642642"/>
    <w:lvl w:ilvl="0" w:tplc="550E62D2">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DA21C0"/>
    <w:multiLevelType w:val="hybridMultilevel"/>
    <w:tmpl w:val="ED12756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A066D16"/>
    <w:multiLevelType w:val="hybridMultilevel"/>
    <w:tmpl w:val="73CCDF3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6781C32"/>
    <w:multiLevelType w:val="hybridMultilevel"/>
    <w:tmpl w:val="87D21D0E"/>
    <w:lvl w:ilvl="0" w:tplc="7BC4732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52752052">
    <w:abstractNumId w:val="9"/>
  </w:num>
  <w:num w:numId="2" w16cid:durableId="966011338">
    <w:abstractNumId w:val="7"/>
  </w:num>
  <w:num w:numId="3" w16cid:durableId="1310555545">
    <w:abstractNumId w:val="4"/>
  </w:num>
  <w:num w:numId="4" w16cid:durableId="736629854">
    <w:abstractNumId w:val="5"/>
  </w:num>
  <w:num w:numId="5" w16cid:durableId="778571531">
    <w:abstractNumId w:val="10"/>
  </w:num>
  <w:num w:numId="6" w16cid:durableId="1575236698">
    <w:abstractNumId w:val="8"/>
  </w:num>
  <w:num w:numId="7" w16cid:durableId="2038847914">
    <w:abstractNumId w:val="0"/>
  </w:num>
  <w:num w:numId="8" w16cid:durableId="808136969">
    <w:abstractNumId w:val="2"/>
  </w:num>
  <w:num w:numId="9" w16cid:durableId="160047951">
    <w:abstractNumId w:val="6"/>
  </w:num>
  <w:num w:numId="10" w16cid:durableId="1451362145">
    <w:abstractNumId w:val="11"/>
  </w:num>
  <w:num w:numId="11" w16cid:durableId="1918055283">
    <w:abstractNumId w:val="1"/>
  </w:num>
  <w:num w:numId="12" w16cid:durableId="323894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4B"/>
    <w:rsid w:val="00012066"/>
    <w:rsid w:val="00014BAB"/>
    <w:rsid w:val="000234EA"/>
    <w:rsid w:val="00077389"/>
    <w:rsid w:val="0008605B"/>
    <w:rsid w:val="0009160A"/>
    <w:rsid w:val="0009582D"/>
    <w:rsid w:val="000E01A1"/>
    <w:rsid w:val="000F6C0F"/>
    <w:rsid w:val="00102C8F"/>
    <w:rsid w:val="001038D3"/>
    <w:rsid w:val="0018244D"/>
    <w:rsid w:val="001A4DAB"/>
    <w:rsid w:val="001B1DA0"/>
    <w:rsid w:val="001D17EC"/>
    <w:rsid w:val="001E66D1"/>
    <w:rsid w:val="0022004E"/>
    <w:rsid w:val="002938BC"/>
    <w:rsid w:val="00297B06"/>
    <w:rsid w:val="002B39A3"/>
    <w:rsid w:val="002C20FC"/>
    <w:rsid w:val="002C6500"/>
    <w:rsid w:val="002D0824"/>
    <w:rsid w:val="002E655F"/>
    <w:rsid w:val="002F51A9"/>
    <w:rsid w:val="002F7874"/>
    <w:rsid w:val="003145AB"/>
    <w:rsid w:val="00335BC3"/>
    <w:rsid w:val="00335C96"/>
    <w:rsid w:val="00343473"/>
    <w:rsid w:val="00343722"/>
    <w:rsid w:val="00363136"/>
    <w:rsid w:val="003722BD"/>
    <w:rsid w:val="0037454B"/>
    <w:rsid w:val="0038433A"/>
    <w:rsid w:val="00386BFB"/>
    <w:rsid w:val="00386E65"/>
    <w:rsid w:val="003876AC"/>
    <w:rsid w:val="003A3356"/>
    <w:rsid w:val="003A593B"/>
    <w:rsid w:val="003B1669"/>
    <w:rsid w:val="003C27E2"/>
    <w:rsid w:val="003D7E1B"/>
    <w:rsid w:val="003E0864"/>
    <w:rsid w:val="003E16B6"/>
    <w:rsid w:val="003F0E93"/>
    <w:rsid w:val="003F580C"/>
    <w:rsid w:val="00406AC0"/>
    <w:rsid w:val="004162C5"/>
    <w:rsid w:val="00417CD2"/>
    <w:rsid w:val="0044055E"/>
    <w:rsid w:val="00444AF8"/>
    <w:rsid w:val="0048431A"/>
    <w:rsid w:val="00486A42"/>
    <w:rsid w:val="00486E05"/>
    <w:rsid w:val="00495F0C"/>
    <w:rsid w:val="00496330"/>
    <w:rsid w:val="004B2220"/>
    <w:rsid w:val="004C06DA"/>
    <w:rsid w:val="004C46D0"/>
    <w:rsid w:val="004E7C69"/>
    <w:rsid w:val="004F093E"/>
    <w:rsid w:val="00517E31"/>
    <w:rsid w:val="005209A8"/>
    <w:rsid w:val="00522BC9"/>
    <w:rsid w:val="00532466"/>
    <w:rsid w:val="00533926"/>
    <w:rsid w:val="005450D9"/>
    <w:rsid w:val="005568D1"/>
    <w:rsid w:val="00556AEC"/>
    <w:rsid w:val="00563427"/>
    <w:rsid w:val="00566080"/>
    <w:rsid w:val="005665B1"/>
    <w:rsid w:val="005711E1"/>
    <w:rsid w:val="00591F86"/>
    <w:rsid w:val="00592456"/>
    <w:rsid w:val="005D0410"/>
    <w:rsid w:val="005E45F6"/>
    <w:rsid w:val="005E7E27"/>
    <w:rsid w:val="005F5447"/>
    <w:rsid w:val="00632BB6"/>
    <w:rsid w:val="00632D6D"/>
    <w:rsid w:val="00643273"/>
    <w:rsid w:val="00691D90"/>
    <w:rsid w:val="006D2A04"/>
    <w:rsid w:val="006D6FE3"/>
    <w:rsid w:val="00706771"/>
    <w:rsid w:val="00714D5D"/>
    <w:rsid w:val="00723C32"/>
    <w:rsid w:val="00726213"/>
    <w:rsid w:val="00770404"/>
    <w:rsid w:val="00795A69"/>
    <w:rsid w:val="007D6D6B"/>
    <w:rsid w:val="007E411F"/>
    <w:rsid w:val="007E463F"/>
    <w:rsid w:val="007E48AE"/>
    <w:rsid w:val="007E6E4D"/>
    <w:rsid w:val="008150C5"/>
    <w:rsid w:val="00832CAD"/>
    <w:rsid w:val="0084778B"/>
    <w:rsid w:val="0086156E"/>
    <w:rsid w:val="008620A2"/>
    <w:rsid w:val="008A7FE8"/>
    <w:rsid w:val="008B264A"/>
    <w:rsid w:val="00900D5F"/>
    <w:rsid w:val="009246C2"/>
    <w:rsid w:val="009261E8"/>
    <w:rsid w:val="009741C8"/>
    <w:rsid w:val="009761E9"/>
    <w:rsid w:val="009E10C8"/>
    <w:rsid w:val="009E621C"/>
    <w:rsid w:val="00A03B7D"/>
    <w:rsid w:val="00A21E98"/>
    <w:rsid w:val="00A36E25"/>
    <w:rsid w:val="00A4491A"/>
    <w:rsid w:val="00A76C4C"/>
    <w:rsid w:val="00A84BF0"/>
    <w:rsid w:val="00A852D5"/>
    <w:rsid w:val="00AF5A83"/>
    <w:rsid w:val="00B0761C"/>
    <w:rsid w:val="00B13769"/>
    <w:rsid w:val="00B1532E"/>
    <w:rsid w:val="00B17EB8"/>
    <w:rsid w:val="00B25F00"/>
    <w:rsid w:val="00B5073E"/>
    <w:rsid w:val="00B87E71"/>
    <w:rsid w:val="00BB36AC"/>
    <w:rsid w:val="00BB6E0B"/>
    <w:rsid w:val="00BD2AB3"/>
    <w:rsid w:val="00BE1413"/>
    <w:rsid w:val="00C07348"/>
    <w:rsid w:val="00C31F9B"/>
    <w:rsid w:val="00C41F2E"/>
    <w:rsid w:val="00C46FA3"/>
    <w:rsid w:val="00C522CF"/>
    <w:rsid w:val="00C67348"/>
    <w:rsid w:val="00C92D52"/>
    <w:rsid w:val="00C9694C"/>
    <w:rsid w:val="00C97F8A"/>
    <w:rsid w:val="00CB51E7"/>
    <w:rsid w:val="00CD73CA"/>
    <w:rsid w:val="00CD78CF"/>
    <w:rsid w:val="00CE6100"/>
    <w:rsid w:val="00CE6844"/>
    <w:rsid w:val="00D06E7C"/>
    <w:rsid w:val="00D201BD"/>
    <w:rsid w:val="00D41E77"/>
    <w:rsid w:val="00D4378F"/>
    <w:rsid w:val="00D505F7"/>
    <w:rsid w:val="00D66ADA"/>
    <w:rsid w:val="00D75AB1"/>
    <w:rsid w:val="00D91021"/>
    <w:rsid w:val="00D93947"/>
    <w:rsid w:val="00D95FE2"/>
    <w:rsid w:val="00DB1619"/>
    <w:rsid w:val="00DB283A"/>
    <w:rsid w:val="00DE28B5"/>
    <w:rsid w:val="00E319B1"/>
    <w:rsid w:val="00E419A7"/>
    <w:rsid w:val="00E45C27"/>
    <w:rsid w:val="00E466C7"/>
    <w:rsid w:val="00E542A7"/>
    <w:rsid w:val="00E561B7"/>
    <w:rsid w:val="00E6391B"/>
    <w:rsid w:val="00E6427F"/>
    <w:rsid w:val="00E708A4"/>
    <w:rsid w:val="00E76045"/>
    <w:rsid w:val="00E95D2C"/>
    <w:rsid w:val="00EA1E20"/>
    <w:rsid w:val="00EA3728"/>
    <w:rsid w:val="00EA6526"/>
    <w:rsid w:val="00ED0D82"/>
    <w:rsid w:val="00EE68E2"/>
    <w:rsid w:val="00F0385A"/>
    <w:rsid w:val="00F03C6A"/>
    <w:rsid w:val="00F202EA"/>
    <w:rsid w:val="00F259BB"/>
    <w:rsid w:val="00F42A3F"/>
    <w:rsid w:val="00F4375A"/>
    <w:rsid w:val="00F4436C"/>
    <w:rsid w:val="00F4563D"/>
    <w:rsid w:val="00F47C9B"/>
    <w:rsid w:val="00F521D8"/>
    <w:rsid w:val="00F76721"/>
    <w:rsid w:val="00F86EB9"/>
    <w:rsid w:val="00F9028D"/>
    <w:rsid w:val="00F922C5"/>
    <w:rsid w:val="00FA098F"/>
    <w:rsid w:val="00FA4184"/>
    <w:rsid w:val="00FC1C23"/>
    <w:rsid w:val="00FC5FCC"/>
    <w:rsid w:val="00FD36E5"/>
    <w:rsid w:val="00FF0E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19B0"/>
  <w15:chartTrackingRefBased/>
  <w15:docId w15:val="{B8A0B8E8-EBC9-4A6C-840B-8480513E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3B"/>
    <w:pPr>
      <w:spacing w:after="120" w:line="240" w:lineRule="auto"/>
    </w:pPr>
    <w:rPr>
      <w:rFonts w:ascii="Seaford" w:hAnsi="Seaford"/>
    </w:rPr>
  </w:style>
  <w:style w:type="paragraph" w:styleId="Heading1">
    <w:name w:val="heading 1"/>
    <w:basedOn w:val="Normal"/>
    <w:next w:val="Normal"/>
    <w:link w:val="Heading1Char"/>
    <w:uiPriority w:val="9"/>
    <w:qFormat/>
    <w:rsid w:val="00EA1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E2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E6E4D"/>
    <w:pPr>
      <w:ind w:left="720"/>
      <w:contextualSpacing/>
    </w:pPr>
  </w:style>
  <w:style w:type="paragraph" w:styleId="Header">
    <w:name w:val="header"/>
    <w:basedOn w:val="Normal"/>
    <w:link w:val="HeaderChar"/>
    <w:uiPriority w:val="99"/>
    <w:unhideWhenUsed/>
    <w:rsid w:val="00FF0EFE"/>
    <w:pPr>
      <w:tabs>
        <w:tab w:val="center" w:pos="4680"/>
        <w:tab w:val="right" w:pos="9360"/>
      </w:tabs>
      <w:spacing w:after="0"/>
    </w:pPr>
  </w:style>
  <w:style w:type="character" w:customStyle="1" w:styleId="HeaderChar">
    <w:name w:val="Header Char"/>
    <w:basedOn w:val="DefaultParagraphFont"/>
    <w:link w:val="Header"/>
    <w:uiPriority w:val="99"/>
    <w:rsid w:val="00FF0EFE"/>
    <w:rPr>
      <w:rFonts w:ascii="Seaford" w:hAnsi="Seaford"/>
    </w:rPr>
  </w:style>
  <w:style w:type="paragraph" w:styleId="Footer">
    <w:name w:val="footer"/>
    <w:basedOn w:val="Normal"/>
    <w:link w:val="FooterChar"/>
    <w:uiPriority w:val="99"/>
    <w:unhideWhenUsed/>
    <w:rsid w:val="00FF0EFE"/>
    <w:pPr>
      <w:tabs>
        <w:tab w:val="center" w:pos="4680"/>
        <w:tab w:val="right" w:pos="9360"/>
      </w:tabs>
      <w:spacing w:after="0"/>
    </w:pPr>
  </w:style>
  <w:style w:type="character" w:customStyle="1" w:styleId="FooterChar">
    <w:name w:val="Footer Char"/>
    <w:basedOn w:val="DefaultParagraphFont"/>
    <w:link w:val="Footer"/>
    <w:uiPriority w:val="99"/>
    <w:rsid w:val="00FF0EFE"/>
    <w:rPr>
      <w:rFonts w:ascii="Seaford" w:hAnsi="Seaford"/>
    </w:rPr>
  </w:style>
  <w:style w:type="paragraph" w:styleId="Title">
    <w:name w:val="Title"/>
    <w:basedOn w:val="Normal"/>
    <w:next w:val="Normal"/>
    <w:link w:val="TitleChar"/>
    <w:uiPriority w:val="10"/>
    <w:qFormat/>
    <w:rsid w:val="00522BC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BC9"/>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D93947"/>
    <w:rPr>
      <w:b/>
      <w:bCs/>
      <w:smallCaps/>
      <w:color w:val="4472C4" w:themeColor="accent1"/>
      <w:spacing w:val="5"/>
    </w:rPr>
  </w:style>
  <w:style w:type="paragraph" w:customStyle="1" w:styleId="AwardParagraphs">
    <w:name w:val="AwardParagraphs"/>
    <w:qFormat/>
    <w:rsid w:val="0018244D"/>
    <w:pPr>
      <w:numPr>
        <w:numId w:val="12"/>
      </w:numPr>
      <w:tabs>
        <w:tab w:val="left" w:pos="720"/>
      </w:tabs>
      <w:spacing w:after="200" w:line="276" w:lineRule="auto"/>
      <w:ind w:left="0" w:firstLine="0"/>
      <w:jc w:val="both"/>
    </w:pPr>
    <w:rPr>
      <w:rFonts w:ascii="Seaford" w:eastAsia="Times New Roman" w:hAnsi="Seaford" w:cstheme="minorHAns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26F2878D8E4B168A4ED830352A0772"/>
        <w:category>
          <w:name w:val="General"/>
          <w:gallery w:val="placeholder"/>
        </w:category>
        <w:types>
          <w:type w:val="bbPlcHdr"/>
        </w:types>
        <w:behaviors>
          <w:behavior w:val="content"/>
        </w:behaviors>
        <w:guid w:val="{19278457-1938-442C-8551-A11A218C1C1B}"/>
      </w:docPartPr>
      <w:docPartBody>
        <w:p w:rsidR="00F81886" w:rsidRDefault="00F81886" w:rsidP="00F81886">
          <w:pPr>
            <w:pStyle w:val="E026F2878D8E4B168A4ED830352A0772"/>
          </w:pPr>
          <w:r>
            <w:rPr>
              <w:color w:val="156082" w:themeColor="accent1"/>
            </w:rPr>
            <w:t>[Document title]</w:t>
          </w:r>
        </w:p>
      </w:docPartBody>
    </w:docPart>
    <w:docPart>
      <w:docPartPr>
        <w:name w:val="969F1622809740C59B296CFFD03E8EE8"/>
        <w:category>
          <w:name w:val="General"/>
          <w:gallery w:val="placeholder"/>
        </w:category>
        <w:types>
          <w:type w:val="bbPlcHdr"/>
        </w:types>
        <w:behaviors>
          <w:behavior w:val="content"/>
        </w:behaviors>
        <w:guid w:val="{21FC9875-4F27-4644-BAEC-A7DD2B38B2C9}"/>
      </w:docPartPr>
      <w:docPartBody>
        <w:p w:rsidR="00F81886" w:rsidRDefault="00F81886" w:rsidP="00F81886">
          <w:pPr>
            <w:pStyle w:val="969F1622809740C59B296CFFD03E8EE8"/>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aford">
    <w:panose1 w:val="020B0502030303020204"/>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86"/>
    <w:rsid w:val="00406AC0"/>
    <w:rsid w:val="00F818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6EE47CA574F37945C217BBA87BCAD">
    <w:name w:val="7086EE47CA574F37945C217BBA87BCAD"/>
    <w:rsid w:val="00F81886"/>
  </w:style>
  <w:style w:type="paragraph" w:customStyle="1" w:styleId="D522081A3FB74C02B8BDABA082E12630">
    <w:name w:val="D522081A3FB74C02B8BDABA082E12630"/>
    <w:rsid w:val="00F81886"/>
  </w:style>
  <w:style w:type="paragraph" w:customStyle="1" w:styleId="E026F2878D8E4B168A4ED830352A0772">
    <w:name w:val="E026F2878D8E4B168A4ED830352A0772"/>
    <w:rsid w:val="00F81886"/>
  </w:style>
  <w:style w:type="paragraph" w:customStyle="1" w:styleId="969F1622809740C59B296CFFD03E8EE8">
    <w:name w:val="969F1622809740C59B296CFFD03E8EE8"/>
    <w:rsid w:val="00F81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2131</Words>
  <Characters>10938</Characters>
  <Application>Microsoft Office Word</Application>
  <DocSecurity>0</DocSecurity>
  <Lines>188</Lines>
  <Paragraphs>86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Pleadings</vt:lpstr>
      <vt:lpstr>Exchange of Evidence</vt:lpstr>
      <vt:lpstr>Disclosure Requests</vt:lpstr>
      <vt:lpstr>Pre-Hearing Delivery of Material</vt:lpstr>
      <vt:lpstr>Privacy and Security Regarding Evidence</vt:lpstr>
      <vt:lpstr>The Hearing (260)</vt:lpstr>
      <vt:lpstr>Communication with Tribunal</vt:lpstr>
      <vt:lpstr>Further Directions</vt:lpstr>
    </vt:vector>
  </TitlesOfParts>
  <Company>McCartney ADR</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Arbitration Procedural Order</dc:title>
  <dc:subject>Arbitration</dc:subject>
  <dc:creator>McCartneyADR.com</dc:creator>
  <cp:keywords/>
  <dc:description>McCartneyADR.com
403 861 2700</dc:description>
  <cp:lastModifiedBy>Jim McCartney</cp:lastModifiedBy>
  <cp:revision>120</cp:revision>
  <cp:lastPrinted>2024-06-12T20:43:00Z</cp:lastPrinted>
  <dcterms:created xsi:type="dcterms:W3CDTF">2024-02-04T16:41:00Z</dcterms:created>
  <dcterms:modified xsi:type="dcterms:W3CDTF">2024-06-12T20:44:00Z</dcterms:modified>
</cp:coreProperties>
</file>