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W w:w="0" w:type="auto"/>
        <w:tblLook w:val="0620" w:firstRow="1" w:lastRow="0" w:firstColumn="0" w:lastColumn="0" w:noHBand="1" w:noVBand="1"/>
      </w:tblPr>
      <w:tblGrid>
        <w:gridCol w:w="805"/>
        <w:gridCol w:w="8545"/>
      </w:tblGrid>
      <w:tr w:rsidR="00E30BC4" w14:paraId="0EC4A02C" w14:textId="77777777" w:rsidTr="0002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" w:type="dxa"/>
          </w:tcPr>
          <w:p w14:paraId="000A1D8A" w14:textId="1C9E6C04" w:rsidR="00E30BC4" w:rsidRDefault="00E30BC4">
            <w:r>
              <w:t>Day</w:t>
            </w:r>
          </w:p>
        </w:tc>
        <w:tc>
          <w:tcPr>
            <w:tcW w:w="8545" w:type="dxa"/>
          </w:tcPr>
          <w:p w14:paraId="1F1BF64D" w14:textId="7C7E3013" w:rsidR="00E30BC4" w:rsidRDefault="00E30BC4">
            <w:r>
              <w:t>Event</w:t>
            </w:r>
          </w:p>
        </w:tc>
      </w:tr>
      <w:tr w:rsidR="00E30BC4" w14:paraId="731621B8" w14:textId="77777777" w:rsidTr="00020582">
        <w:tc>
          <w:tcPr>
            <w:tcW w:w="805" w:type="dxa"/>
          </w:tcPr>
          <w:p w14:paraId="284181F1" w14:textId="326261F0" w:rsidR="00E30BC4" w:rsidRDefault="00E30BC4">
            <w:r>
              <w:t>1</w:t>
            </w:r>
          </w:p>
        </w:tc>
        <w:tc>
          <w:tcPr>
            <w:tcW w:w="8545" w:type="dxa"/>
          </w:tcPr>
          <w:p w14:paraId="7422B8BD" w14:textId="40BB2D1C" w:rsidR="00E30BC4" w:rsidRDefault="00E30BC4">
            <w:r>
              <w:t xml:space="preserve">Pleadings are the Notice of Arbitration </w:t>
            </w:r>
            <w:r w:rsidR="00225D85">
              <w:t>&amp;</w:t>
            </w:r>
            <w:r>
              <w:t xml:space="preserve"> Answer to Notice of Arbitration</w:t>
            </w:r>
          </w:p>
        </w:tc>
      </w:tr>
      <w:tr w:rsidR="00E30BC4" w14:paraId="732ACAF0" w14:textId="77777777" w:rsidTr="00020582">
        <w:tc>
          <w:tcPr>
            <w:tcW w:w="805" w:type="dxa"/>
          </w:tcPr>
          <w:p w14:paraId="331881D0" w14:textId="383C00C8" w:rsidR="00E30BC4" w:rsidRDefault="00E30BC4">
            <w:r>
              <w:t>30</w:t>
            </w:r>
          </w:p>
        </w:tc>
        <w:tc>
          <w:tcPr>
            <w:tcW w:w="8545" w:type="dxa"/>
          </w:tcPr>
          <w:p w14:paraId="4E38C6AD" w14:textId="0F2E0069" w:rsidR="00E30BC4" w:rsidRDefault="00E30BC4">
            <w:r>
              <w:t xml:space="preserve">Claimant delivers its witness statements </w:t>
            </w:r>
            <w:r w:rsidR="00225D85">
              <w:t>&amp;</w:t>
            </w:r>
            <w:r>
              <w:t xml:space="preserve"> reliance documents</w:t>
            </w:r>
          </w:p>
        </w:tc>
      </w:tr>
      <w:tr w:rsidR="00E30BC4" w14:paraId="73C82F21" w14:textId="77777777" w:rsidTr="00020582">
        <w:tc>
          <w:tcPr>
            <w:tcW w:w="805" w:type="dxa"/>
          </w:tcPr>
          <w:p w14:paraId="4BB84F33" w14:textId="127374AC" w:rsidR="00E30BC4" w:rsidRDefault="00E30BC4">
            <w:r>
              <w:t>60</w:t>
            </w:r>
          </w:p>
        </w:tc>
        <w:tc>
          <w:tcPr>
            <w:tcW w:w="8545" w:type="dxa"/>
          </w:tcPr>
          <w:p w14:paraId="78C334A9" w14:textId="7AC76516" w:rsidR="00E30BC4" w:rsidRDefault="00E30BC4">
            <w:r>
              <w:t xml:space="preserve">Respondent delivers its responding witness statements </w:t>
            </w:r>
            <w:r w:rsidR="00225D85">
              <w:t>&amp;</w:t>
            </w:r>
            <w:r>
              <w:t xml:space="preserve"> reliance documents</w:t>
            </w:r>
          </w:p>
        </w:tc>
      </w:tr>
      <w:tr w:rsidR="00E30BC4" w14:paraId="6B812653" w14:textId="77777777" w:rsidTr="00020582">
        <w:tc>
          <w:tcPr>
            <w:tcW w:w="805" w:type="dxa"/>
          </w:tcPr>
          <w:p w14:paraId="61C4E904" w14:textId="4BCF63E3" w:rsidR="00E30BC4" w:rsidRDefault="00225D85">
            <w:r>
              <w:t>90</w:t>
            </w:r>
          </w:p>
        </w:tc>
        <w:tc>
          <w:tcPr>
            <w:tcW w:w="8545" w:type="dxa"/>
          </w:tcPr>
          <w:p w14:paraId="5A2C2B2C" w14:textId="68700221" w:rsidR="00E30BC4" w:rsidRDefault="00225D85">
            <w:r>
              <w:t xml:space="preserve">Claimant delivers its reply witness statements &amp; </w:t>
            </w:r>
            <w:r w:rsidR="008523C9">
              <w:t>any additional documents</w:t>
            </w:r>
          </w:p>
        </w:tc>
      </w:tr>
      <w:tr w:rsidR="008523C9" w14:paraId="03923F59" w14:textId="77777777" w:rsidTr="00020582">
        <w:tc>
          <w:tcPr>
            <w:tcW w:w="805" w:type="dxa"/>
          </w:tcPr>
          <w:p w14:paraId="213432EB" w14:textId="378B4E59" w:rsidR="008523C9" w:rsidRDefault="008523C9">
            <w:r>
              <w:t>105</w:t>
            </w:r>
          </w:p>
        </w:tc>
        <w:tc>
          <w:tcPr>
            <w:tcW w:w="8545" w:type="dxa"/>
          </w:tcPr>
          <w:p w14:paraId="6A922494" w14:textId="72B29FB2" w:rsidR="008523C9" w:rsidRDefault="008523C9">
            <w:r>
              <w:t xml:space="preserve">Last day for requests for information, documents, </w:t>
            </w:r>
            <w:r w:rsidR="008A3053">
              <w:t>or pre-hearing examination</w:t>
            </w:r>
          </w:p>
        </w:tc>
      </w:tr>
      <w:tr w:rsidR="00E30BC4" w14:paraId="395131C9" w14:textId="77777777" w:rsidTr="00020582">
        <w:tc>
          <w:tcPr>
            <w:tcW w:w="805" w:type="dxa"/>
          </w:tcPr>
          <w:p w14:paraId="54A83B35" w14:textId="50314DA0" w:rsidR="00E30BC4" w:rsidRDefault="00225D85">
            <w:r>
              <w:t>135</w:t>
            </w:r>
          </w:p>
        </w:tc>
        <w:tc>
          <w:tcPr>
            <w:tcW w:w="8545" w:type="dxa"/>
          </w:tcPr>
          <w:p w14:paraId="54F4403C" w14:textId="7E7D0B7C" w:rsidR="00E30BC4" w:rsidRDefault="00F15C9B">
            <w:r>
              <w:t>P</w:t>
            </w:r>
            <w:r w:rsidR="00225D85">
              <w:t>arties deliver any expert’s reports</w:t>
            </w:r>
          </w:p>
        </w:tc>
      </w:tr>
      <w:tr w:rsidR="008A3053" w14:paraId="5FCCA03E" w14:textId="77777777" w:rsidTr="00020582">
        <w:tc>
          <w:tcPr>
            <w:tcW w:w="805" w:type="dxa"/>
          </w:tcPr>
          <w:p w14:paraId="24EDFAD7" w14:textId="4A00E52E" w:rsidR="008A3053" w:rsidRDefault="008A3053">
            <w:r>
              <w:t>135</w:t>
            </w:r>
          </w:p>
        </w:tc>
        <w:tc>
          <w:tcPr>
            <w:tcW w:w="8545" w:type="dxa"/>
          </w:tcPr>
          <w:p w14:paraId="58BCD88E" w14:textId="2E25C14A" w:rsidR="008A3053" w:rsidRDefault="00230215">
            <w:r>
              <w:t>Parties state which documents will be put in evidence and who will be cross-examined</w:t>
            </w:r>
          </w:p>
        </w:tc>
      </w:tr>
      <w:tr w:rsidR="00230215" w14:paraId="7DB1B152" w14:textId="77777777" w:rsidTr="00020582">
        <w:tc>
          <w:tcPr>
            <w:tcW w:w="805" w:type="dxa"/>
          </w:tcPr>
          <w:p w14:paraId="40B224C7" w14:textId="600887EF" w:rsidR="00230215" w:rsidRDefault="00230215">
            <w:r>
              <w:t>165</w:t>
            </w:r>
          </w:p>
        </w:tc>
        <w:tc>
          <w:tcPr>
            <w:tcW w:w="8545" w:type="dxa"/>
          </w:tcPr>
          <w:p w14:paraId="0D39CE72" w14:textId="41EB691E" w:rsidR="00230215" w:rsidRDefault="00230215">
            <w:r>
              <w:t xml:space="preserve">Last day for raising issues about </w:t>
            </w:r>
            <w:r w:rsidRPr="00230215">
              <w:t>authenticity or admissibility of a document</w:t>
            </w:r>
          </w:p>
        </w:tc>
      </w:tr>
      <w:tr w:rsidR="00E30BC4" w14:paraId="6D9C60B2" w14:textId="77777777" w:rsidTr="00020582">
        <w:tc>
          <w:tcPr>
            <w:tcW w:w="805" w:type="dxa"/>
          </w:tcPr>
          <w:p w14:paraId="7AEFCCC0" w14:textId="669FE060" w:rsidR="00E30BC4" w:rsidRDefault="00225D85">
            <w:r>
              <w:t>165</w:t>
            </w:r>
          </w:p>
        </w:tc>
        <w:tc>
          <w:tcPr>
            <w:tcW w:w="8545" w:type="dxa"/>
          </w:tcPr>
          <w:p w14:paraId="5C8ECEB2" w14:textId="67967A1D" w:rsidR="00E30BC4" w:rsidRDefault="008523C9">
            <w:r>
              <w:t>Responding expert reports delivered</w:t>
            </w:r>
          </w:p>
        </w:tc>
      </w:tr>
      <w:tr w:rsidR="00E30BC4" w14:paraId="258A1D38" w14:textId="77777777" w:rsidTr="00020582">
        <w:tc>
          <w:tcPr>
            <w:tcW w:w="805" w:type="dxa"/>
          </w:tcPr>
          <w:p w14:paraId="23368B4C" w14:textId="3396EFF7" w:rsidR="00E30BC4" w:rsidRDefault="008523C9">
            <w:r>
              <w:t>195</w:t>
            </w:r>
          </w:p>
        </w:tc>
        <w:tc>
          <w:tcPr>
            <w:tcW w:w="8545" w:type="dxa"/>
          </w:tcPr>
          <w:p w14:paraId="7E8A952F" w14:textId="3D746B0B" w:rsidR="00E30BC4" w:rsidRDefault="008523C9">
            <w:r>
              <w:t>Optional: joint expert report</w:t>
            </w:r>
          </w:p>
        </w:tc>
      </w:tr>
      <w:tr w:rsidR="00230215" w14:paraId="62CC1D45" w14:textId="77777777" w:rsidTr="00020582">
        <w:tc>
          <w:tcPr>
            <w:tcW w:w="805" w:type="dxa"/>
          </w:tcPr>
          <w:p w14:paraId="7045A8FA" w14:textId="08211C39" w:rsidR="00230215" w:rsidRDefault="00230215">
            <w:r>
              <w:t>210</w:t>
            </w:r>
          </w:p>
        </w:tc>
        <w:tc>
          <w:tcPr>
            <w:tcW w:w="8545" w:type="dxa"/>
          </w:tcPr>
          <w:p w14:paraId="3B706B2B" w14:textId="3A24FA9E" w:rsidR="00230215" w:rsidRDefault="00077DF8">
            <w:r>
              <w:t>Provide tribunal with ‘arbitration record’</w:t>
            </w:r>
          </w:p>
        </w:tc>
      </w:tr>
      <w:tr w:rsidR="00077DF8" w14:paraId="1AE2DD22" w14:textId="77777777" w:rsidTr="00020582">
        <w:tc>
          <w:tcPr>
            <w:tcW w:w="805" w:type="dxa"/>
          </w:tcPr>
          <w:p w14:paraId="5AA03CE0" w14:textId="204CA57D" w:rsidR="00077DF8" w:rsidRDefault="00077DF8">
            <w:r>
              <w:t>240</w:t>
            </w:r>
          </w:p>
        </w:tc>
        <w:tc>
          <w:tcPr>
            <w:tcW w:w="8545" w:type="dxa"/>
          </w:tcPr>
          <w:p w14:paraId="504C5197" w14:textId="6F28DD53" w:rsidR="00077DF8" w:rsidRDefault="00077DF8">
            <w:r>
              <w:t>Pre-hearing written submissions, cases, authorities</w:t>
            </w:r>
          </w:p>
        </w:tc>
      </w:tr>
      <w:tr w:rsidR="00077DF8" w14:paraId="2EDA989F" w14:textId="77777777" w:rsidTr="00020582">
        <w:tc>
          <w:tcPr>
            <w:tcW w:w="805" w:type="dxa"/>
          </w:tcPr>
          <w:p w14:paraId="3A06E968" w14:textId="66037B79" w:rsidR="00077DF8" w:rsidRDefault="00077DF8">
            <w:r>
              <w:t>260</w:t>
            </w:r>
          </w:p>
        </w:tc>
        <w:tc>
          <w:tcPr>
            <w:tcW w:w="8545" w:type="dxa"/>
          </w:tcPr>
          <w:p w14:paraId="36351E5D" w14:textId="7ECCB170" w:rsidR="00077DF8" w:rsidRDefault="00077DF8">
            <w:r>
              <w:t>Hearing</w:t>
            </w:r>
          </w:p>
        </w:tc>
      </w:tr>
    </w:tbl>
    <w:p w14:paraId="0DF0D457" w14:textId="77777777" w:rsidR="008B2650" w:rsidRDefault="008B2650"/>
    <w:sectPr w:rsidR="008B265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599FE" w14:textId="77777777" w:rsidR="00FA549A" w:rsidRDefault="00FA549A" w:rsidP="00C517F2">
      <w:pPr>
        <w:spacing w:after="0"/>
      </w:pPr>
      <w:r>
        <w:separator/>
      </w:r>
    </w:p>
  </w:endnote>
  <w:endnote w:type="continuationSeparator" w:id="0">
    <w:p w14:paraId="4B1EB6E8" w14:textId="77777777" w:rsidR="00FA549A" w:rsidRDefault="00FA549A" w:rsidP="00C51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">
    <w:panose1 w:val="020B0502030303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DACC" w14:textId="77777777" w:rsidR="00FA549A" w:rsidRDefault="00FA549A" w:rsidP="00C517F2">
      <w:pPr>
        <w:spacing w:after="0"/>
      </w:pPr>
      <w:r>
        <w:separator/>
      </w:r>
    </w:p>
  </w:footnote>
  <w:footnote w:type="continuationSeparator" w:id="0">
    <w:p w14:paraId="51BF1021" w14:textId="77777777" w:rsidR="00FA549A" w:rsidRDefault="00FA549A" w:rsidP="00C51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D35B" w14:textId="412F7895" w:rsidR="00C517F2" w:rsidRDefault="00C517F2">
    <w:pPr>
      <w:pStyle w:val="Header"/>
      <w:tabs>
        <w:tab w:val="clear" w:pos="4680"/>
        <w:tab w:val="clear" w:pos="9360"/>
      </w:tabs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B1A31AB2B0034212A066AE268064C5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472C4" w:themeColor="accent1"/>
          </w:rPr>
          <w:t>Proced</w:t>
        </w:r>
        <w:r w:rsidR="00B64259">
          <w:rPr>
            <w:color w:val="4472C4" w:themeColor="accent1"/>
          </w:rPr>
          <w:t>ural Order Timeline</w:t>
        </w:r>
      </w:sdtContent>
    </w:sdt>
    <w:r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78E8CFA089A24D2EAE711068E8EDB4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4472C4" w:themeColor="accent1"/>
          </w:rPr>
          <w:t>McCartney</w:t>
        </w:r>
        <w:r w:rsidR="00B64259">
          <w:rPr>
            <w:color w:val="4472C4" w:themeColor="accent1"/>
          </w:rPr>
          <w:t>ADR.com</w:t>
        </w:r>
      </w:sdtContent>
    </w:sdt>
  </w:p>
  <w:p w14:paraId="19B9A65D" w14:textId="77777777" w:rsidR="00C517F2" w:rsidRDefault="00C51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C4"/>
    <w:rsid w:val="00020582"/>
    <w:rsid w:val="00077DF8"/>
    <w:rsid w:val="00225D85"/>
    <w:rsid w:val="00230215"/>
    <w:rsid w:val="00406AC0"/>
    <w:rsid w:val="008523C9"/>
    <w:rsid w:val="008A3053"/>
    <w:rsid w:val="008B2650"/>
    <w:rsid w:val="00A53102"/>
    <w:rsid w:val="00B36871"/>
    <w:rsid w:val="00B64259"/>
    <w:rsid w:val="00C517F2"/>
    <w:rsid w:val="00E30BC4"/>
    <w:rsid w:val="00F15C9B"/>
    <w:rsid w:val="00F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CBD85"/>
  <w15:chartTrackingRefBased/>
  <w15:docId w15:val="{F0EA1E01-E97E-470D-9E67-77FAB073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71"/>
    <w:pPr>
      <w:spacing w:after="120" w:line="240" w:lineRule="auto"/>
    </w:pPr>
    <w:rPr>
      <w:rFonts w:ascii="Seaford" w:hAnsi="Seafor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205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517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17F2"/>
    <w:rPr>
      <w:rFonts w:ascii="Seaford" w:hAnsi="Seaford"/>
      <w:sz w:val="24"/>
    </w:rPr>
  </w:style>
  <w:style w:type="paragraph" w:styleId="Footer">
    <w:name w:val="footer"/>
    <w:basedOn w:val="Normal"/>
    <w:link w:val="FooterChar"/>
    <w:uiPriority w:val="99"/>
    <w:unhideWhenUsed/>
    <w:rsid w:val="00C517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17F2"/>
    <w:rPr>
      <w:rFonts w:ascii="Seaford" w:hAnsi="Seafor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A31AB2B0034212A066AE268064C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5510-A5C1-4E3F-B396-E61C5E152D84}"/>
      </w:docPartPr>
      <w:docPartBody>
        <w:p w:rsidR="00000000" w:rsidRDefault="00DD55A0" w:rsidP="00DD55A0">
          <w:pPr>
            <w:pStyle w:val="B1A31AB2B0034212A066AE268064C52B"/>
          </w:pPr>
          <w:r>
            <w:rPr>
              <w:color w:val="156082" w:themeColor="accent1"/>
            </w:rPr>
            <w:t>[Document title]</w:t>
          </w:r>
        </w:p>
      </w:docPartBody>
    </w:docPart>
    <w:docPart>
      <w:docPartPr>
        <w:name w:val="78E8CFA089A24D2EAE711068E8ED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BFC9-6DE5-49AE-9A3A-7731B8C6C017}"/>
      </w:docPartPr>
      <w:docPartBody>
        <w:p w:rsidR="00000000" w:rsidRDefault="00DD55A0" w:rsidP="00DD55A0">
          <w:pPr>
            <w:pStyle w:val="78E8CFA089A24D2EAE711068E8EDB4A1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">
    <w:panose1 w:val="020B0502030303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406AC0"/>
    <w:rsid w:val="008D4A32"/>
    <w:rsid w:val="00D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31AB2B0034212A066AE268064C52B">
    <w:name w:val="B1A31AB2B0034212A066AE268064C52B"/>
    <w:rsid w:val="00DD55A0"/>
  </w:style>
  <w:style w:type="paragraph" w:customStyle="1" w:styleId="78E8CFA089A24D2EAE711068E8EDB4A1">
    <w:name w:val="78E8CFA089A24D2EAE711068E8EDB4A1"/>
    <w:rsid w:val="00DD5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Procedural Order Timeline</dc:title>
  <dc:subject/>
  <dc:creator>McCartneyADR.com</dc:creator>
  <cp:keywords/>
  <dc:description/>
  <cp:lastModifiedBy>Jim McCartney</cp:lastModifiedBy>
  <cp:revision>3</cp:revision>
  <dcterms:created xsi:type="dcterms:W3CDTF">2024-02-05T21:18:00Z</dcterms:created>
  <dcterms:modified xsi:type="dcterms:W3CDTF">2024-06-12T20:41:00Z</dcterms:modified>
</cp:coreProperties>
</file>