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E70E" w14:textId="77777777" w:rsidR="00EC53A3" w:rsidRPr="00767F6C" w:rsidRDefault="00EC53A3">
      <w:pPr>
        <w:pStyle w:val="Title"/>
        <w:rPr>
          <w:rFonts w:ascii="Seaford" w:hAnsi="Seaford"/>
          <w:b/>
          <w:sz w:val="22"/>
          <w:lang w:val="en-CA"/>
        </w:rPr>
      </w:pPr>
      <w:r w:rsidRPr="00767F6C">
        <w:rPr>
          <w:rFonts w:ascii="Seaford" w:hAnsi="Seaford"/>
          <w:b/>
          <w:sz w:val="22"/>
          <w:lang w:val="en-CA"/>
        </w:rPr>
        <w:t>Mediation Agreement</w:t>
      </w:r>
    </w:p>
    <w:p w14:paraId="60F3C8CB" w14:textId="77777777" w:rsidR="00EC53A3" w:rsidRPr="00767F6C" w:rsidRDefault="00EC53A3" w:rsidP="00CB611F">
      <w:pPr>
        <w:jc w:val="both"/>
        <w:rPr>
          <w:rFonts w:ascii="Seaford" w:hAnsi="Seaford"/>
          <w:sz w:val="22"/>
          <w:lang w:val="en-CA"/>
        </w:rPr>
      </w:pPr>
    </w:p>
    <w:p w14:paraId="036B033E" w14:textId="77777777" w:rsidR="00EC53A3" w:rsidRPr="00767F6C" w:rsidRDefault="00EC53A3">
      <w:pPr>
        <w:jc w:val="both"/>
        <w:rPr>
          <w:rFonts w:ascii="Seaford" w:hAnsi="Seaford"/>
          <w:sz w:val="22"/>
          <w:lang w:val="en-CA"/>
        </w:rPr>
      </w:pPr>
      <w:r w:rsidRPr="00767F6C">
        <w:rPr>
          <w:rFonts w:ascii="Seaford" w:hAnsi="Seaford"/>
          <w:sz w:val="22"/>
          <w:lang w:val="en-CA"/>
        </w:rPr>
        <w:t>This is an agreement between:</w:t>
      </w:r>
    </w:p>
    <w:p w14:paraId="3B681FCA" w14:textId="77777777" w:rsidR="00EC53A3" w:rsidRPr="00767F6C" w:rsidRDefault="00EC53A3">
      <w:pPr>
        <w:jc w:val="both"/>
        <w:rPr>
          <w:rFonts w:ascii="Seaford" w:hAnsi="Seaford"/>
          <w:sz w:val="22"/>
          <w:lang w:val="en-CA"/>
        </w:rPr>
      </w:pPr>
    </w:p>
    <w:p w14:paraId="2498600D" w14:textId="77777777" w:rsidR="00EC53A3" w:rsidRPr="00767F6C" w:rsidRDefault="00EC53A3">
      <w:pPr>
        <w:jc w:val="center"/>
        <w:rPr>
          <w:rFonts w:ascii="Seaford" w:hAnsi="Seaford"/>
          <w:sz w:val="22"/>
          <w:lang w:val="en-CA"/>
        </w:rPr>
      </w:pPr>
      <w:r w:rsidRPr="00767F6C">
        <w:rPr>
          <w:rFonts w:ascii="Seaford" w:hAnsi="Seaford"/>
          <w:sz w:val="22"/>
          <w:lang w:val="en-CA"/>
        </w:rPr>
        <w:t>____________________________________</w:t>
      </w:r>
    </w:p>
    <w:p w14:paraId="04A99A22" w14:textId="77777777" w:rsidR="00EC53A3" w:rsidRPr="00767F6C" w:rsidRDefault="00EC53A3" w:rsidP="00CB611F">
      <w:pPr>
        <w:jc w:val="both"/>
        <w:rPr>
          <w:rFonts w:ascii="Seaford" w:hAnsi="Seaford"/>
          <w:sz w:val="22"/>
          <w:lang w:val="en-CA"/>
        </w:rPr>
      </w:pPr>
    </w:p>
    <w:p w14:paraId="798AC1CC" w14:textId="77777777" w:rsidR="00EC53A3" w:rsidRPr="00767F6C" w:rsidRDefault="00EC53A3">
      <w:pPr>
        <w:jc w:val="both"/>
        <w:rPr>
          <w:rFonts w:ascii="Seaford" w:hAnsi="Seaford"/>
          <w:sz w:val="22"/>
          <w:lang w:val="en-CA"/>
        </w:rPr>
      </w:pPr>
      <w:r w:rsidRPr="00767F6C">
        <w:rPr>
          <w:rFonts w:ascii="Seaford" w:hAnsi="Seaford"/>
          <w:sz w:val="22"/>
          <w:lang w:val="en-CA"/>
        </w:rPr>
        <w:t xml:space="preserve">and </w:t>
      </w:r>
    </w:p>
    <w:p w14:paraId="5B3998D5" w14:textId="77777777" w:rsidR="00EC53A3" w:rsidRPr="00767F6C" w:rsidRDefault="00EC53A3">
      <w:pPr>
        <w:jc w:val="center"/>
        <w:rPr>
          <w:rFonts w:ascii="Seaford" w:hAnsi="Seaford"/>
          <w:sz w:val="22"/>
          <w:lang w:val="en-CA"/>
        </w:rPr>
      </w:pPr>
      <w:r w:rsidRPr="00767F6C">
        <w:rPr>
          <w:rFonts w:ascii="Seaford" w:hAnsi="Seaford"/>
          <w:sz w:val="22"/>
          <w:lang w:val="en-CA"/>
        </w:rPr>
        <w:t>____________________________________</w:t>
      </w:r>
    </w:p>
    <w:p w14:paraId="4BA9089B" w14:textId="77777777" w:rsidR="00EC53A3" w:rsidRPr="00767F6C" w:rsidRDefault="00EC53A3">
      <w:pPr>
        <w:jc w:val="center"/>
        <w:rPr>
          <w:rFonts w:ascii="Seaford" w:hAnsi="Seaford"/>
          <w:sz w:val="22"/>
          <w:lang w:val="en-CA"/>
        </w:rPr>
      </w:pPr>
    </w:p>
    <w:p w14:paraId="2EBC0B5C" w14:textId="77777777" w:rsidR="00EC53A3" w:rsidRPr="00767F6C" w:rsidRDefault="00146DDB">
      <w:pPr>
        <w:jc w:val="both"/>
        <w:rPr>
          <w:rFonts w:ascii="Seaford" w:hAnsi="Seaford"/>
          <w:sz w:val="22"/>
          <w:lang w:val="en-CA"/>
        </w:rPr>
      </w:pPr>
      <w:r w:rsidRPr="00767F6C">
        <w:rPr>
          <w:rFonts w:ascii="Seaford" w:hAnsi="Seaford"/>
          <w:sz w:val="22"/>
          <w:lang w:val="en-CA"/>
        </w:rPr>
        <w:t>(the ‘</w:t>
      </w:r>
      <w:r w:rsidR="00EC53A3" w:rsidRPr="00767F6C">
        <w:rPr>
          <w:rFonts w:ascii="Seaford" w:hAnsi="Seaford"/>
          <w:sz w:val="22"/>
          <w:lang w:val="en-CA"/>
        </w:rPr>
        <w:t>parties</w:t>
      </w:r>
      <w:r w:rsidRPr="00767F6C">
        <w:rPr>
          <w:rFonts w:ascii="Seaford" w:hAnsi="Seaford"/>
          <w:sz w:val="22"/>
          <w:lang w:val="en-CA"/>
        </w:rPr>
        <w:t>’)</w:t>
      </w:r>
      <w:r w:rsidR="00EC53A3" w:rsidRPr="00767F6C">
        <w:rPr>
          <w:rFonts w:ascii="Seaford" w:hAnsi="Seaford"/>
          <w:sz w:val="22"/>
          <w:lang w:val="en-CA"/>
        </w:rPr>
        <w:t xml:space="preserve"> and Jim McCartney</w:t>
      </w:r>
      <w:r w:rsidRPr="00767F6C">
        <w:rPr>
          <w:rFonts w:ascii="Seaford" w:hAnsi="Seaford"/>
          <w:sz w:val="22"/>
          <w:lang w:val="en-CA"/>
        </w:rPr>
        <w:t xml:space="preserve"> (the ‘</w:t>
      </w:r>
      <w:r w:rsidR="00EC53A3" w:rsidRPr="00767F6C">
        <w:rPr>
          <w:rFonts w:ascii="Seaford" w:hAnsi="Seaford"/>
          <w:sz w:val="22"/>
          <w:lang w:val="en-CA"/>
        </w:rPr>
        <w:t>mediator</w:t>
      </w:r>
      <w:r w:rsidRPr="00767F6C">
        <w:rPr>
          <w:rFonts w:ascii="Seaford" w:hAnsi="Seaford"/>
          <w:sz w:val="22"/>
          <w:lang w:val="en-CA"/>
        </w:rPr>
        <w:t>’)</w:t>
      </w:r>
      <w:r w:rsidR="00EC53A3" w:rsidRPr="00767F6C">
        <w:rPr>
          <w:rFonts w:ascii="Seaford" w:hAnsi="Seaford"/>
          <w:sz w:val="22"/>
          <w:lang w:val="en-CA"/>
        </w:rPr>
        <w:t xml:space="preserve"> to enter mediation with the intent of resolving </w:t>
      </w:r>
      <w:r w:rsidR="001B7DC3" w:rsidRPr="00767F6C">
        <w:rPr>
          <w:rFonts w:ascii="Seaford" w:hAnsi="Seaford"/>
          <w:sz w:val="22"/>
          <w:lang w:val="en-CA"/>
        </w:rPr>
        <w:t>their disputes</w:t>
      </w:r>
      <w:r w:rsidR="00EC53A3" w:rsidRPr="00767F6C">
        <w:rPr>
          <w:rFonts w:ascii="Seaford" w:hAnsi="Seaford"/>
          <w:sz w:val="22"/>
          <w:lang w:val="en-CA"/>
        </w:rPr>
        <w:t>.</w:t>
      </w:r>
      <w:r w:rsidR="00E11F61" w:rsidRPr="00767F6C">
        <w:rPr>
          <w:rFonts w:ascii="Seaford" w:hAnsi="Seaford"/>
          <w:sz w:val="22"/>
          <w:lang w:val="en-CA"/>
        </w:rPr>
        <w:t xml:space="preserve"> The parties and the mediator agree as follows: </w:t>
      </w:r>
    </w:p>
    <w:p w14:paraId="7F0C9538" w14:textId="77777777" w:rsidR="00EC53A3" w:rsidRPr="00767F6C" w:rsidRDefault="00EC53A3">
      <w:pPr>
        <w:pStyle w:val="Heading2"/>
        <w:rPr>
          <w:rFonts w:ascii="Seaford" w:hAnsi="Seaford"/>
          <w:sz w:val="22"/>
          <w:lang w:val="en-CA"/>
        </w:rPr>
      </w:pPr>
      <w:r w:rsidRPr="00767F6C">
        <w:rPr>
          <w:rFonts w:ascii="Seaford" w:hAnsi="Seaford"/>
          <w:sz w:val="22"/>
          <w:lang w:val="en-CA"/>
        </w:rPr>
        <w:t>1. Nature of Mediation</w:t>
      </w:r>
    </w:p>
    <w:p w14:paraId="20C58C84" w14:textId="77777777" w:rsidR="00EC53A3" w:rsidRPr="00767F6C" w:rsidRDefault="001B7DC3" w:rsidP="00CB611F">
      <w:pPr>
        <w:jc w:val="both"/>
        <w:rPr>
          <w:rFonts w:ascii="Seaford" w:hAnsi="Seaford"/>
          <w:sz w:val="22"/>
          <w:lang w:val="en-CA"/>
        </w:rPr>
      </w:pPr>
      <w:r w:rsidRPr="00767F6C">
        <w:rPr>
          <w:rFonts w:ascii="Seaford" w:hAnsi="Seaford"/>
          <w:sz w:val="22"/>
          <w:lang w:val="en-CA"/>
        </w:rPr>
        <w:t>The parties appoint the mediator to help them reach a voluntary and informed agreement. The mediator has no power to decide for the parties. The mediator will work equally for each party and will not give legal advice. Any mediator recommendations or statements are not legal advice.</w:t>
      </w:r>
    </w:p>
    <w:p w14:paraId="55AC7181" w14:textId="77777777" w:rsidR="00EC53A3" w:rsidRPr="00767F6C" w:rsidRDefault="004D6C99">
      <w:pPr>
        <w:pStyle w:val="Heading2"/>
        <w:rPr>
          <w:rFonts w:ascii="Seaford" w:hAnsi="Seaford"/>
          <w:sz w:val="22"/>
          <w:lang w:val="en-CA"/>
        </w:rPr>
      </w:pPr>
      <w:r w:rsidRPr="00767F6C">
        <w:rPr>
          <w:rFonts w:ascii="Seaford" w:hAnsi="Seaford"/>
          <w:sz w:val="22"/>
          <w:lang w:val="en-CA"/>
        </w:rPr>
        <w:t>2</w:t>
      </w:r>
      <w:r w:rsidR="00EC53A3" w:rsidRPr="00767F6C">
        <w:rPr>
          <w:rFonts w:ascii="Seaford" w:hAnsi="Seaford"/>
          <w:sz w:val="22"/>
          <w:lang w:val="en-CA"/>
        </w:rPr>
        <w:t>. Mediation Is Voluntary</w:t>
      </w:r>
    </w:p>
    <w:p w14:paraId="538B3BA0" w14:textId="77777777" w:rsidR="00EC53A3" w:rsidRPr="00767F6C" w:rsidRDefault="004D6C99">
      <w:pPr>
        <w:jc w:val="both"/>
        <w:rPr>
          <w:rFonts w:ascii="Seaford" w:hAnsi="Seaford"/>
          <w:sz w:val="22"/>
          <w:lang w:val="en-CA"/>
        </w:rPr>
      </w:pPr>
      <w:r w:rsidRPr="00767F6C">
        <w:rPr>
          <w:rFonts w:ascii="Seaford" w:hAnsi="Seaford"/>
          <w:sz w:val="22"/>
          <w:lang w:val="en-CA"/>
        </w:rPr>
        <w:t>The parties agree to resolve their dispute in good faith. Any party or the mediator can stop or pause the mediation at any time, for any reason</w:t>
      </w:r>
      <w:r w:rsidR="00EC53A3" w:rsidRPr="00767F6C">
        <w:rPr>
          <w:rFonts w:ascii="Seaford" w:hAnsi="Seaford"/>
          <w:sz w:val="22"/>
          <w:lang w:val="en-CA"/>
        </w:rPr>
        <w:t xml:space="preserve">. </w:t>
      </w:r>
    </w:p>
    <w:p w14:paraId="1F7B5A32" w14:textId="77777777" w:rsidR="00EC53A3" w:rsidRPr="00767F6C" w:rsidRDefault="00BB070B">
      <w:pPr>
        <w:pStyle w:val="Heading2"/>
        <w:rPr>
          <w:rFonts w:ascii="Seaford" w:hAnsi="Seaford"/>
          <w:sz w:val="22"/>
          <w:lang w:val="en-CA"/>
        </w:rPr>
      </w:pPr>
      <w:r w:rsidRPr="00767F6C">
        <w:rPr>
          <w:rFonts w:ascii="Seaford" w:hAnsi="Seaford"/>
          <w:sz w:val="22"/>
          <w:lang w:val="en-CA"/>
        </w:rPr>
        <w:t>3</w:t>
      </w:r>
      <w:r w:rsidR="00EC53A3" w:rsidRPr="00767F6C">
        <w:rPr>
          <w:rFonts w:ascii="Seaford" w:hAnsi="Seaford"/>
          <w:sz w:val="22"/>
          <w:lang w:val="en-CA"/>
        </w:rPr>
        <w:t>. Confidentiality</w:t>
      </w:r>
      <w:r w:rsidR="00864C3B" w:rsidRPr="00767F6C">
        <w:rPr>
          <w:rFonts w:ascii="Seaford" w:hAnsi="Seaford"/>
          <w:sz w:val="22"/>
          <w:lang w:val="en-CA"/>
        </w:rPr>
        <w:t xml:space="preserve"> and Security</w:t>
      </w:r>
    </w:p>
    <w:p w14:paraId="5A3FE74F" w14:textId="77777777" w:rsidR="00BB070B" w:rsidRPr="00767F6C" w:rsidRDefault="00BB070B" w:rsidP="00BB070B">
      <w:pPr>
        <w:jc w:val="both"/>
        <w:rPr>
          <w:rFonts w:ascii="Seaford" w:hAnsi="Seaford"/>
          <w:sz w:val="22"/>
          <w:lang w:val="en-CA"/>
        </w:rPr>
      </w:pPr>
      <w:r w:rsidRPr="00767F6C">
        <w:rPr>
          <w:rFonts w:ascii="Seaford" w:hAnsi="Seaford"/>
          <w:sz w:val="22"/>
          <w:lang w:val="en-CA"/>
        </w:rPr>
        <w:t xml:space="preserve">The mediation will be confidential. Nothing said or written in the mediation can be used in court or arbitration, except a signed agreement. The parties agree not to ask the mediator to testify or pro-vide any materials from the mediation in any legal proceeding. The parties and the mediator con-sider the mediation to be settlement negotiations. The law of Alberta applies to this agreement. </w:t>
      </w:r>
    </w:p>
    <w:p w14:paraId="6099B5E9" w14:textId="77777777" w:rsidR="00BB070B" w:rsidRPr="00767F6C" w:rsidRDefault="00BB070B" w:rsidP="00BB070B">
      <w:pPr>
        <w:jc w:val="both"/>
        <w:rPr>
          <w:rFonts w:ascii="Seaford" w:hAnsi="Seaford"/>
          <w:sz w:val="22"/>
          <w:lang w:val="en-CA"/>
        </w:rPr>
      </w:pPr>
      <w:r w:rsidRPr="00767F6C">
        <w:rPr>
          <w:rFonts w:ascii="Seaford" w:hAnsi="Seaford"/>
          <w:sz w:val="22"/>
          <w:lang w:val="en-CA"/>
        </w:rPr>
        <w:t>No one will record any part of the mediation without everyone's consent.</w:t>
      </w:r>
    </w:p>
    <w:p w14:paraId="03E4A149" w14:textId="77777777" w:rsidR="00EC53A3" w:rsidRPr="00767F6C" w:rsidRDefault="00BB070B" w:rsidP="00BB070B">
      <w:pPr>
        <w:jc w:val="both"/>
        <w:rPr>
          <w:rFonts w:ascii="Seaford" w:hAnsi="Seaford"/>
          <w:sz w:val="22"/>
          <w:lang w:val="en-CA"/>
        </w:rPr>
      </w:pPr>
      <w:r w:rsidRPr="00767F6C">
        <w:rPr>
          <w:rFonts w:ascii="Seaford" w:hAnsi="Seaford"/>
          <w:sz w:val="22"/>
          <w:lang w:val="en-CA"/>
        </w:rPr>
        <w:t>If any part of the mediation uses technology that allows participants to be in different locations, the parties acknowledge that they have checked the technology and are aware of any risks, such as security, privacy, and confidentiality.</w:t>
      </w:r>
      <w:r w:rsidR="00EC53A3" w:rsidRPr="00767F6C">
        <w:rPr>
          <w:rFonts w:ascii="Seaford" w:hAnsi="Seaford"/>
          <w:sz w:val="22"/>
          <w:lang w:val="en-CA"/>
        </w:rPr>
        <w:t xml:space="preserve"> </w:t>
      </w:r>
    </w:p>
    <w:p w14:paraId="750C27BC" w14:textId="77777777" w:rsidR="00EC53A3" w:rsidRPr="00767F6C" w:rsidRDefault="00BB070B">
      <w:pPr>
        <w:pStyle w:val="Heading2"/>
        <w:rPr>
          <w:rFonts w:ascii="Seaford" w:hAnsi="Seaford"/>
          <w:sz w:val="22"/>
          <w:lang w:val="en-CA"/>
        </w:rPr>
      </w:pPr>
      <w:r w:rsidRPr="00767F6C">
        <w:rPr>
          <w:rFonts w:ascii="Seaford" w:hAnsi="Seaford"/>
          <w:sz w:val="22"/>
          <w:lang w:val="en-CA"/>
        </w:rPr>
        <w:t>4</w:t>
      </w:r>
      <w:r w:rsidR="00EC53A3" w:rsidRPr="00767F6C">
        <w:rPr>
          <w:rFonts w:ascii="Seaford" w:hAnsi="Seaford"/>
          <w:sz w:val="22"/>
          <w:lang w:val="en-CA"/>
        </w:rPr>
        <w:t>. Limitation of Liability</w:t>
      </w:r>
    </w:p>
    <w:p w14:paraId="6E5D5CAB" w14:textId="77777777" w:rsidR="00EC53A3" w:rsidRPr="00767F6C" w:rsidRDefault="00EC53A3" w:rsidP="00CB611F">
      <w:pPr>
        <w:jc w:val="both"/>
        <w:rPr>
          <w:rFonts w:ascii="Seaford" w:hAnsi="Seaford"/>
          <w:sz w:val="22"/>
          <w:lang w:val="en-CA"/>
        </w:rPr>
      </w:pPr>
      <w:r w:rsidRPr="00767F6C">
        <w:rPr>
          <w:rFonts w:ascii="Seaford" w:hAnsi="Seaford"/>
          <w:sz w:val="22"/>
          <w:lang w:val="en-CA"/>
        </w:rPr>
        <w:t xml:space="preserve">The mediator shall not be liable to any party for any act or omission </w:t>
      </w:r>
      <w:r w:rsidR="00BB070B" w:rsidRPr="00767F6C">
        <w:rPr>
          <w:rFonts w:ascii="Seaford" w:hAnsi="Seaford"/>
          <w:sz w:val="22"/>
          <w:lang w:val="en-CA"/>
        </w:rPr>
        <w:t>related to</w:t>
      </w:r>
      <w:r w:rsidRPr="00767F6C">
        <w:rPr>
          <w:rFonts w:ascii="Seaford" w:hAnsi="Seaford"/>
          <w:sz w:val="22"/>
          <w:lang w:val="en-CA"/>
        </w:rPr>
        <w:t xml:space="preserve"> the mediation.</w:t>
      </w:r>
    </w:p>
    <w:p w14:paraId="0EB8F240" w14:textId="77777777" w:rsidR="00EC53A3" w:rsidRPr="00767F6C" w:rsidRDefault="00530ED6">
      <w:pPr>
        <w:pStyle w:val="Heading2"/>
        <w:rPr>
          <w:rFonts w:ascii="Seaford" w:hAnsi="Seaford"/>
          <w:sz w:val="22"/>
          <w:lang w:val="en-CA"/>
        </w:rPr>
      </w:pPr>
      <w:r w:rsidRPr="00767F6C">
        <w:rPr>
          <w:rFonts w:ascii="Seaford" w:hAnsi="Seaford"/>
          <w:sz w:val="22"/>
          <w:lang w:val="en-CA"/>
        </w:rPr>
        <w:t>5</w:t>
      </w:r>
      <w:r w:rsidR="00EC53A3" w:rsidRPr="00767F6C">
        <w:rPr>
          <w:rFonts w:ascii="Seaford" w:hAnsi="Seaford"/>
          <w:sz w:val="22"/>
          <w:lang w:val="en-CA"/>
        </w:rPr>
        <w:t>. Full Disclosure</w:t>
      </w:r>
    </w:p>
    <w:p w14:paraId="68324AE7" w14:textId="77777777" w:rsidR="00EC53A3" w:rsidRPr="00767F6C" w:rsidRDefault="00BB070B">
      <w:pPr>
        <w:jc w:val="both"/>
        <w:rPr>
          <w:rFonts w:ascii="Seaford" w:hAnsi="Seaford"/>
          <w:sz w:val="22"/>
          <w:lang w:val="en-CA"/>
        </w:rPr>
      </w:pPr>
      <w:r w:rsidRPr="00767F6C">
        <w:rPr>
          <w:rFonts w:ascii="Seaford" w:hAnsi="Seaford"/>
          <w:sz w:val="22"/>
          <w:lang w:val="en-CA"/>
        </w:rPr>
        <w:t>Each party will share all relevant information and documents that are not privileged, as requested by the mediator or another party, if the mediator thinks they are relevant to the mediation. The mediator may destroy or delete any documents in his possession after 60 days from the last mediation session.</w:t>
      </w:r>
    </w:p>
    <w:p w14:paraId="6C706EF6" w14:textId="77777777" w:rsidR="00EC53A3" w:rsidRPr="00767F6C" w:rsidRDefault="00530ED6">
      <w:pPr>
        <w:pStyle w:val="Heading2"/>
        <w:rPr>
          <w:rFonts w:ascii="Seaford" w:hAnsi="Seaford"/>
          <w:sz w:val="22"/>
          <w:lang w:val="en-CA"/>
        </w:rPr>
      </w:pPr>
      <w:r w:rsidRPr="00767F6C">
        <w:rPr>
          <w:rFonts w:ascii="Seaford" w:hAnsi="Seaford"/>
          <w:sz w:val="22"/>
          <w:lang w:val="en-CA"/>
        </w:rPr>
        <w:lastRenderedPageBreak/>
        <w:t>6</w:t>
      </w:r>
      <w:r w:rsidR="00EC53A3" w:rsidRPr="00767F6C">
        <w:rPr>
          <w:rFonts w:ascii="Seaford" w:hAnsi="Seaford"/>
          <w:sz w:val="22"/>
          <w:lang w:val="en-CA"/>
        </w:rPr>
        <w:t>. Mediator Impartiality</w:t>
      </w:r>
    </w:p>
    <w:p w14:paraId="305DB48D" w14:textId="77777777" w:rsidR="00EC53A3" w:rsidRPr="00767F6C" w:rsidRDefault="00530ED6">
      <w:pPr>
        <w:jc w:val="both"/>
        <w:rPr>
          <w:rFonts w:ascii="Seaford" w:hAnsi="Seaford"/>
          <w:sz w:val="22"/>
          <w:lang w:val="en-CA"/>
        </w:rPr>
      </w:pPr>
      <w:r w:rsidRPr="00767F6C">
        <w:rPr>
          <w:rFonts w:ascii="Seaford" w:hAnsi="Seaford"/>
          <w:sz w:val="22"/>
          <w:lang w:val="en-CA"/>
        </w:rPr>
        <w:t xml:space="preserve">The mediator will be impartial during the mediation. The mediator may talk to any party or their lawyer about the process or the issues and may share what he learns from one party with another </w:t>
      </w:r>
      <w:proofErr w:type="gramStart"/>
      <w:r w:rsidRPr="00767F6C">
        <w:rPr>
          <w:rFonts w:ascii="Seaford" w:hAnsi="Seaford"/>
          <w:sz w:val="22"/>
          <w:lang w:val="en-CA"/>
        </w:rPr>
        <w:t>party, unless</w:t>
      </w:r>
      <w:proofErr w:type="gramEnd"/>
      <w:r w:rsidRPr="00767F6C">
        <w:rPr>
          <w:rFonts w:ascii="Seaford" w:hAnsi="Seaford"/>
          <w:sz w:val="22"/>
          <w:lang w:val="en-CA"/>
        </w:rPr>
        <w:t xml:space="preserve"> he is asked not to.</w:t>
      </w:r>
      <w:r w:rsidR="00EC53A3" w:rsidRPr="00767F6C">
        <w:rPr>
          <w:rFonts w:ascii="Seaford" w:hAnsi="Seaford"/>
          <w:sz w:val="22"/>
          <w:lang w:val="en-CA"/>
        </w:rPr>
        <w:t xml:space="preserve"> </w:t>
      </w:r>
    </w:p>
    <w:p w14:paraId="15E44F54" w14:textId="77777777" w:rsidR="00EC53A3" w:rsidRPr="00767F6C" w:rsidRDefault="00530ED6">
      <w:pPr>
        <w:pStyle w:val="Heading2"/>
        <w:rPr>
          <w:rFonts w:ascii="Seaford" w:hAnsi="Seaford"/>
          <w:sz w:val="22"/>
          <w:lang w:val="en-CA"/>
        </w:rPr>
      </w:pPr>
      <w:r w:rsidRPr="00767F6C">
        <w:rPr>
          <w:rFonts w:ascii="Seaford" w:hAnsi="Seaford"/>
          <w:sz w:val="22"/>
          <w:lang w:val="en-CA"/>
        </w:rPr>
        <w:t>7</w:t>
      </w:r>
      <w:r w:rsidR="00EC53A3" w:rsidRPr="00767F6C">
        <w:rPr>
          <w:rFonts w:ascii="Seaford" w:hAnsi="Seaford"/>
          <w:sz w:val="22"/>
          <w:lang w:val="en-CA"/>
        </w:rPr>
        <w:t>. Litigation</w:t>
      </w:r>
    </w:p>
    <w:p w14:paraId="72C415A4" w14:textId="77777777" w:rsidR="00EC53A3" w:rsidRPr="00767F6C" w:rsidRDefault="00530ED6">
      <w:pPr>
        <w:jc w:val="both"/>
        <w:rPr>
          <w:rFonts w:ascii="Seaford" w:hAnsi="Seaford"/>
          <w:sz w:val="22"/>
          <w:lang w:val="en-CA"/>
        </w:rPr>
      </w:pPr>
      <w:r w:rsidRPr="00767F6C">
        <w:rPr>
          <w:rFonts w:ascii="Seaford" w:hAnsi="Seaford"/>
          <w:sz w:val="22"/>
          <w:lang w:val="en-CA"/>
        </w:rPr>
        <w:t>The parties will refrain from pre-emptive manoeuvres and adversarial legal proceedings (except in the case of an emergency necessitating such action) while they are in mediation</w:t>
      </w:r>
      <w:r w:rsidR="00EC53A3" w:rsidRPr="00767F6C">
        <w:rPr>
          <w:rFonts w:ascii="Seaford" w:hAnsi="Seaford"/>
          <w:sz w:val="22"/>
          <w:lang w:val="en-CA"/>
        </w:rPr>
        <w:t xml:space="preserve">. </w:t>
      </w:r>
    </w:p>
    <w:p w14:paraId="677F2365" w14:textId="77777777" w:rsidR="00EC53A3" w:rsidRPr="00767F6C" w:rsidRDefault="00530ED6">
      <w:pPr>
        <w:pStyle w:val="Heading2"/>
        <w:rPr>
          <w:rFonts w:ascii="Seaford" w:hAnsi="Seaford"/>
          <w:sz w:val="22"/>
          <w:lang w:val="en-CA"/>
        </w:rPr>
      </w:pPr>
      <w:r w:rsidRPr="00767F6C">
        <w:rPr>
          <w:rFonts w:ascii="Seaford" w:hAnsi="Seaford"/>
          <w:sz w:val="22"/>
          <w:lang w:val="en-CA"/>
        </w:rPr>
        <w:t>8</w:t>
      </w:r>
      <w:r w:rsidR="007552DB" w:rsidRPr="00767F6C">
        <w:rPr>
          <w:rFonts w:ascii="Seaford" w:hAnsi="Seaford"/>
          <w:sz w:val="22"/>
          <w:lang w:val="en-CA"/>
        </w:rPr>
        <w:t>. Mediator</w:t>
      </w:r>
      <w:r w:rsidR="00EC53A3" w:rsidRPr="00767F6C">
        <w:rPr>
          <w:rFonts w:ascii="Seaford" w:hAnsi="Seaford"/>
          <w:sz w:val="22"/>
          <w:lang w:val="en-CA"/>
        </w:rPr>
        <w:t xml:space="preserve"> Fees</w:t>
      </w:r>
    </w:p>
    <w:p w14:paraId="137DCC69" w14:textId="5227D457" w:rsidR="000F0410" w:rsidRPr="00767F6C" w:rsidRDefault="000F0410" w:rsidP="000F0410">
      <w:pPr>
        <w:jc w:val="both"/>
        <w:rPr>
          <w:rFonts w:ascii="Seaford" w:hAnsi="Seaford"/>
          <w:sz w:val="22"/>
          <w:lang w:val="en-CA"/>
        </w:rPr>
      </w:pPr>
      <w:r w:rsidRPr="00767F6C">
        <w:rPr>
          <w:rFonts w:ascii="Seaford" w:hAnsi="Seaford"/>
          <w:sz w:val="22"/>
          <w:lang w:val="en-CA"/>
        </w:rPr>
        <w:t>The mediator’s fee is $</w:t>
      </w:r>
      <w:r w:rsidR="00A32CB8">
        <w:rPr>
          <w:rFonts w:ascii="Seaford" w:hAnsi="Seaford"/>
          <w:sz w:val="22"/>
          <w:lang w:val="en-CA"/>
        </w:rPr>
        <w:t>xxx</w:t>
      </w:r>
      <w:r w:rsidRPr="00767F6C">
        <w:rPr>
          <w:rFonts w:ascii="Seaford" w:hAnsi="Seaford"/>
          <w:sz w:val="22"/>
          <w:lang w:val="en-CA"/>
        </w:rPr>
        <w:t>.00 per hour for any work on the matter. The minimum fee for a mediation session is $</w:t>
      </w:r>
      <w:r w:rsidR="00A32CB8">
        <w:rPr>
          <w:rFonts w:ascii="Seaford" w:hAnsi="Seaford"/>
          <w:sz w:val="22"/>
          <w:lang w:val="en-CA"/>
        </w:rPr>
        <w:t>xxxx</w:t>
      </w:r>
      <w:r w:rsidRPr="00767F6C">
        <w:rPr>
          <w:rFonts w:ascii="Seaford" w:hAnsi="Seaford"/>
          <w:sz w:val="22"/>
          <w:lang w:val="en-CA"/>
        </w:rPr>
        <w:t xml:space="preserve">.00, even if it lasts less than three hours. The parties will split equally the mediation fees and </w:t>
      </w:r>
      <w:r w:rsidR="00A32CB8" w:rsidRPr="00767F6C">
        <w:rPr>
          <w:rFonts w:ascii="Seaford" w:hAnsi="Seaford"/>
          <w:sz w:val="22"/>
          <w:lang w:val="en-CA"/>
        </w:rPr>
        <w:t>expenses unless</w:t>
      </w:r>
      <w:r w:rsidRPr="00767F6C">
        <w:rPr>
          <w:rFonts w:ascii="Seaford" w:hAnsi="Seaford"/>
          <w:sz w:val="22"/>
          <w:lang w:val="en-CA"/>
        </w:rPr>
        <w:t xml:space="preserve"> they agree otherwise.</w:t>
      </w:r>
    </w:p>
    <w:p w14:paraId="5C178F24" w14:textId="77777777" w:rsidR="00EC53A3" w:rsidRPr="00767F6C" w:rsidRDefault="000F0410" w:rsidP="000F0410">
      <w:pPr>
        <w:jc w:val="both"/>
        <w:rPr>
          <w:rFonts w:ascii="Seaford" w:hAnsi="Seaford"/>
          <w:sz w:val="22"/>
          <w:lang w:val="en-CA"/>
        </w:rPr>
      </w:pPr>
      <w:r w:rsidRPr="00767F6C">
        <w:rPr>
          <w:rFonts w:ascii="Seaford" w:hAnsi="Seaford"/>
          <w:sz w:val="22"/>
          <w:lang w:val="en-CA"/>
        </w:rPr>
        <w:t>The parties will pay the mediator for his actual preparation time plus four hours per day if they cancel, postpone, or adjourn any mediation session with less than 28 days notice.</w:t>
      </w:r>
      <w:r w:rsidR="00EC53A3" w:rsidRPr="00767F6C">
        <w:rPr>
          <w:rFonts w:ascii="Seaford" w:hAnsi="Seaford"/>
          <w:sz w:val="22"/>
          <w:lang w:val="en-CA"/>
        </w:rPr>
        <w:t xml:space="preserve"> </w:t>
      </w:r>
    </w:p>
    <w:p w14:paraId="0EDB3E5C" w14:textId="77777777" w:rsidR="00EC53A3" w:rsidRPr="00767F6C" w:rsidRDefault="00584FEC">
      <w:pPr>
        <w:pStyle w:val="Heading2"/>
        <w:rPr>
          <w:rFonts w:ascii="Seaford" w:hAnsi="Seaford"/>
          <w:sz w:val="22"/>
          <w:lang w:val="en-CA"/>
        </w:rPr>
      </w:pPr>
      <w:r w:rsidRPr="00767F6C">
        <w:rPr>
          <w:rFonts w:ascii="Seaford" w:hAnsi="Seaford"/>
          <w:sz w:val="22"/>
          <w:lang w:val="en-CA"/>
        </w:rPr>
        <w:t>9</w:t>
      </w:r>
      <w:r w:rsidR="00EC53A3" w:rsidRPr="00767F6C">
        <w:rPr>
          <w:rFonts w:ascii="Seaford" w:hAnsi="Seaford"/>
          <w:sz w:val="22"/>
          <w:lang w:val="en-CA"/>
        </w:rPr>
        <w:t xml:space="preserve">. Binding on Representatives. </w:t>
      </w:r>
    </w:p>
    <w:p w14:paraId="0BF40094" w14:textId="77777777" w:rsidR="00EC53A3" w:rsidRPr="00767F6C" w:rsidRDefault="000F0410">
      <w:pPr>
        <w:jc w:val="both"/>
        <w:rPr>
          <w:rFonts w:ascii="Seaford" w:hAnsi="Seaford"/>
          <w:sz w:val="22"/>
          <w:lang w:val="en-CA"/>
        </w:rPr>
      </w:pPr>
      <w:r w:rsidRPr="00767F6C">
        <w:rPr>
          <w:rFonts w:ascii="Seaford" w:hAnsi="Seaford"/>
          <w:sz w:val="22"/>
          <w:lang w:val="en-CA"/>
        </w:rPr>
        <w:t>This agreement applies to the parties and their representatives or anyone else they invite to the mediation</w:t>
      </w:r>
      <w:r w:rsidR="00EC53A3" w:rsidRPr="00767F6C">
        <w:rPr>
          <w:rFonts w:ascii="Seaford" w:hAnsi="Seaford"/>
          <w:sz w:val="22"/>
          <w:lang w:val="en-CA"/>
        </w:rPr>
        <w:t>.</w:t>
      </w:r>
    </w:p>
    <w:p w14:paraId="2AC6E73D" w14:textId="77777777" w:rsidR="00EC53A3" w:rsidRPr="00767F6C" w:rsidRDefault="00EC53A3">
      <w:pPr>
        <w:jc w:val="both"/>
        <w:rPr>
          <w:rFonts w:ascii="Seaford" w:hAnsi="Seaford"/>
          <w:sz w:val="22"/>
          <w:lang w:val="en-CA"/>
        </w:rPr>
      </w:pPr>
    </w:p>
    <w:p w14:paraId="2BA1CEDA" w14:textId="77777777" w:rsidR="00EC53A3" w:rsidRPr="00767F6C" w:rsidRDefault="00EC53A3">
      <w:pPr>
        <w:jc w:val="both"/>
        <w:rPr>
          <w:rFonts w:ascii="Seaford" w:hAnsi="Seaford"/>
          <w:sz w:val="22"/>
          <w:lang w:val="en-CA"/>
        </w:rPr>
      </w:pPr>
    </w:p>
    <w:tbl>
      <w:tblPr>
        <w:tblW w:w="0" w:type="auto"/>
        <w:tblLayout w:type="fixed"/>
        <w:tblLook w:val="0000" w:firstRow="0" w:lastRow="0" w:firstColumn="0" w:lastColumn="0" w:noHBand="0" w:noVBand="0"/>
      </w:tblPr>
      <w:tblGrid>
        <w:gridCol w:w="3024"/>
        <w:gridCol w:w="236"/>
        <w:gridCol w:w="3024"/>
        <w:gridCol w:w="236"/>
        <w:gridCol w:w="3024"/>
      </w:tblGrid>
      <w:tr w:rsidR="00EC53A3" w:rsidRPr="00767F6C" w14:paraId="156EF575" w14:textId="77777777">
        <w:tc>
          <w:tcPr>
            <w:tcW w:w="3024" w:type="dxa"/>
          </w:tcPr>
          <w:p w14:paraId="798943CE" w14:textId="77777777" w:rsidR="00EC53A3" w:rsidRPr="00767F6C" w:rsidRDefault="00EC53A3">
            <w:pPr>
              <w:pBdr>
                <w:bottom w:val="single" w:sz="12" w:space="1" w:color="auto"/>
              </w:pBdr>
              <w:spacing w:after="0"/>
              <w:rPr>
                <w:rFonts w:ascii="Seaford" w:hAnsi="Seaford"/>
                <w:sz w:val="22"/>
                <w:lang w:val="en-CA"/>
              </w:rPr>
            </w:pPr>
          </w:p>
          <w:p w14:paraId="21FB2209" w14:textId="77777777" w:rsidR="00EC53A3" w:rsidRPr="00767F6C" w:rsidRDefault="00EC53A3">
            <w:pPr>
              <w:spacing w:after="0"/>
              <w:rPr>
                <w:rFonts w:ascii="Seaford" w:hAnsi="Seaford"/>
                <w:sz w:val="22"/>
                <w:lang w:val="en-CA"/>
              </w:rPr>
            </w:pPr>
          </w:p>
          <w:p w14:paraId="3A5571D6" w14:textId="77777777" w:rsidR="00EC53A3" w:rsidRPr="00767F6C" w:rsidRDefault="00EC53A3">
            <w:pPr>
              <w:spacing w:after="0"/>
              <w:rPr>
                <w:rFonts w:ascii="Seaford" w:hAnsi="Seaford"/>
                <w:sz w:val="22"/>
                <w:lang w:val="en-CA"/>
              </w:rPr>
            </w:pPr>
          </w:p>
        </w:tc>
        <w:tc>
          <w:tcPr>
            <w:tcW w:w="236" w:type="dxa"/>
          </w:tcPr>
          <w:p w14:paraId="7AFCEBEA" w14:textId="77777777" w:rsidR="00EC53A3" w:rsidRPr="00767F6C" w:rsidRDefault="00EC53A3">
            <w:pPr>
              <w:spacing w:after="0"/>
              <w:rPr>
                <w:rFonts w:ascii="Seaford" w:hAnsi="Seaford"/>
                <w:sz w:val="22"/>
                <w:lang w:val="en-CA"/>
              </w:rPr>
            </w:pPr>
          </w:p>
        </w:tc>
        <w:tc>
          <w:tcPr>
            <w:tcW w:w="3024" w:type="dxa"/>
          </w:tcPr>
          <w:p w14:paraId="53F373A8" w14:textId="77777777" w:rsidR="00EC53A3" w:rsidRPr="00767F6C" w:rsidRDefault="00EC53A3">
            <w:pPr>
              <w:pBdr>
                <w:bottom w:val="single" w:sz="12" w:space="1" w:color="auto"/>
              </w:pBdr>
              <w:spacing w:after="0"/>
              <w:rPr>
                <w:rFonts w:ascii="Seaford" w:hAnsi="Seaford"/>
                <w:sz w:val="22"/>
                <w:lang w:val="en-CA"/>
              </w:rPr>
            </w:pPr>
          </w:p>
          <w:p w14:paraId="3DA8D36A" w14:textId="77777777" w:rsidR="00EC53A3" w:rsidRPr="00767F6C" w:rsidRDefault="00EC53A3">
            <w:pPr>
              <w:spacing w:after="0"/>
              <w:rPr>
                <w:rFonts w:ascii="Seaford" w:hAnsi="Seaford"/>
                <w:sz w:val="22"/>
                <w:lang w:val="en-CA"/>
              </w:rPr>
            </w:pPr>
          </w:p>
          <w:p w14:paraId="10C36C1E" w14:textId="77777777" w:rsidR="00EC53A3" w:rsidRPr="00767F6C" w:rsidRDefault="00EC53A3">
            <w:pPr>
              <w:spacing w:after="0"/>
              <w:rPr>
                <w:rFonts w:ascii="Seaford" w:hAnsi="Seaford"/>
                <w:sz w:val="22"/>
                <w:lang w:val="en-CA"/>
              </w:rPr>
            </w:pPr>
          </w:p>
        </w:tc>
        <w:tc>
          <w:tcPr>
            <w:tcW w:w="236" w:type="dxa"/>
          </w:tcPr>
          <w:p w14:paraId="34176FE0" w14:textId="77777777" w:rsidR="00EC53A3" w:rsidRPr="00767F6C" w:rsidRDefault="00EC53A3">
            <w:pPr>
              <w:spacing w:after="0"/>
              <w:rPr>
                <w:rFonts w:ascii="Seaford" w:hAnsi="Seaford"/>
                <w:sz w:val="22"/>
                <w:lang w:val="en-CA"/>
              </w:rPr>
            </w:pPr>
          </w:p>
        </w:tc>
        <w:tc>
          <w:tcPr>
            <w:tcW w:w="3024" w:type="dxa"/>
          </w:tcPr>
          <w:p w14:paraId="022BA7F7" w14:textId="77777777" w:rsidR="00EC53A3" w:rsidRPr="00767F6C" w:rsidRDefault="00EC53A3">
            <w:pPr>
              <w:pBdr>
                <w:bottom w:val="single" w:sz="12" w:space="1" w:color="auto"/>
              </w:pBdr>
              <w:spacing w:after="0"/>
              <w:rPr>
                <w:rFonts w:ascii="Seaford" w:hAnsi="Seaford"/>
                <w:sz w:val="22"/>
                <w:lang w:val="en-CA"/>
              </w:rPr>
            </w:pPr>
          </w:p>
          <w:p w14:paraId="5FD75C0F" w14:textId="77777777" w:rsidR="00EC53A3" w:rsidRPr="00767F6C" w:rsidRDefault="00EC53A3">
            <w:pPr>
              <w:spacing w:after="0"/>
              <w:rPr>
                <w:rFonts w:ascii="Seaford" w:hAnsi="Seaford"/>
                <w:sz w:val="22"/>
                <w:lang w:val="en-CA"/>
              </w:rPr>
            </w:pPr>
            <w:r w:rsidRPr="00767F6C">
              <w:rPr>
                <w:rFonts w:ascii="Seaford" w:hAnsi="Seaford"/>
                <w:sz w:val="22"/>
                <w:lang w:val="en-CA"/>
              </w:rPr>
              <w:t>Jim McCartney</w:t>
            </w:r>
          </w:p>
          <w:p w14:paraId="63F3A788" w14:textId="77777777" w:rsidR="00EC53A3" w:rsidRPr="00767F6C" w:rsidRDefault="00EC53A3">
            <w:pPr>
              <w:spacing w:after="0"/>
              <w:rPr>
                <w:rFonts w:ascii="Seaford" w:hAnsi="Seaford"/>
                <w:sz w:val="22"/>
                <w:lang w:val="en-CA"/>
              </w:rPr>
            </w:pPr>
          </w:p>
        </w:tc>
      </w:tr>
      <w:tr w:rsidR="00EC53A3" w:rsidRPr="00767F6C" w14:paraId="39307DA5" w14:textId="77777777">
        <w:tc>
          <w:tcPr>
            <w:tcW w:w="3024" w:type="dxa"/>
          </w:tcPr>
          <w:p w14:paraId="5CCB564E" w14:textId="62007B10" w:rsidR="00EC53A3" w:rsidRPr="00767F6C" w:rsidRDefault="00EC53A3" w:rsidP="007B77FF">
            <w:pPr>
              <w:tabs>
                <w:tab w:val="right" w:pos="2790"/>
              </w:tabs>
              <w:spacing w:after="0"/>
              <w:jc w:val="right"/>
              <w:rPr>
                <w:rFonts w:ascii="Seaford" w:hAnsi="Seaford"/>
                <w:sz w:val="22"/>
                <w:lang w:val="en-CA"/>
              </w:rPr>
            </w:pPr>
            <w:r w:rsidRPr="00767F6C">
              <w:rPr>
                <w:rFonts w:ascii="Seaford" w:hAnsi="Seaford"/>
                <w:sz w:val="22"/>
                <w:lang w:val="en-CA"/>
              </w:rPr>
              <w:tab/>
              <w:t xml:space="preserve">, </w:t>
            </w:r>
            <w:r w:rsidR="00675EEB" w:rsidRPr="00767F6C">
              <w:rPr>
                <w:rFonts w:ascii="Seaford" w:hAnsi="Seaford"/>
                <w:sz w:val="22"/>
                <w:lang w:val="en-CA"/>
              </w:rPr>
              <w:t>20</w:t>
            </w:r>
            <w:r w:rsidR="00F73F8F" w:rsidRPr="00767F6C">
              <w:rPr>
                <w:rFonts w:ascii="Seaford" w:hAnsi="Seaford"/>
                <w:sz w:val="22"/>
                <w:lang w:val="en-CA"/>
              </w:rPr>
              <w:t>2</w:t>
            </w:r>
            <w:r w:rsidR="00A32CB8">
              <w:rPr>
                <w:rFonts w:ascii="Seaford" w:hAnsi="Seaford"/>
                <w:sz w:val="22"/>
                <w:lang w:val="en-CA"/>
              </w:rPr>
              <w:t>4</w:t>
            </w:r>
          </w:p>
        </w:tc>
        <w:tc>
          <w:tcPr>
            <w:tcW w:w="236" w:type="dxa"/>
          </w:tcPr>
          <w:p w14:paraId="7FBACF24" w14:textId="77777777" w:rsidR="00EC53A3" w:rsidRPr="00767F6C" w:rsidRDefault="00EC53A3" w:rsidP="00BB3C4A">
            <w:pPr>
              <w:spacing w:after="0"/>
              <w:jc w:val="right"/>
              <w:rPr>
                <w:rFonts w:ascii="Seaford" w:hAnsi="Seaford"/>
                <w:sz w:val="22"/>
                <w:lang w:val="en-CA"/>
              </w:rPr>
            </w:pPr>
          </w:p>
        </w:tc>
        <w:tc>
          <w:tcPr>
            <w:tcW w:w="3024" w:type="dxa"/>
          </w:tcPr>
          <w:p w14:paraId="3CA98BFE" w14:textId="4A3594EB" w:rsidR="00EC53A3" w:rsidRPr="00767F6C" w:rsidRDefault="00EC53A3" w:rsidP="007B77FF">
            <w:pPr>
              <w:tabs>
                <w:tab w:val="right" w:pos="2790"/>
              </w:tabs>
              <w:spacing w:after="0"/>
              <w:jc w:val="right"/>
              <w:rPr>
                <w:rFonts w:ascii="Seaford" w:hAnsi="Seaford"/>
                <w:sz w:val="22"/>
                <w:lang w:val="en-CA"/>
              </w:rPr>
            </w:pPr>
            <w:r w:rsidRPr="00767F6C">
              <w:rPr>
                <w:rFonts w:ascii="Seaford" w:hAnsi="Seaford"/>
                <w:sz w:val="22"/>
                <w:lang w:val="en-CA"/>
              </w:rPr>
              <w:tab/>
              <w:t xml:space="preserve">, </w:t>
            </w:r>
            <w:r w:rsidR="00675EEB" w:rsidRPr="00767F6C">
              <w:rPr>
                <w:rFonts w:ascii="Seaford" w:hAnsi="Seaford"/>
                <w:sz w:val="22"/>
                <w:lang w:val="en-CA"/>
              </w:rPr>
              <w:t>20</w:t>
            </w:r>
            <w:r w:rsidR="00F73F8F" w:rsidRPr="00767F6C">
              <w:rPr>
                <w:rFonts w:ascii="Seaford" w:hAnsi="Seaford"/>
                <w:sz w:val="22"/>
                <w:lang w:val="en-CA"/>
              </w:rPr>
              <w:t>2</w:t>
            </w:r>
            <w:r w:rsidR="00A32CB8">
              <w:rPr>
                <w:rFonts w:ascii="Seaford" w:hAnsi="Seaford"/>
                <w:sz w:val="22"/>
                <w:lang w:val="en-CA"/>
              </w:rPr>
              <w:t>4</w:t>
            </w:r>
          </w:p>
        </w:tc>
        <w:tc>
          <w:tcPr>
            <w:tcW w:w="236" w:type="dxa"/>
          </w:tcPr>
          <w:p w14:paraId="4F6C691D" w14:textId="77777777" w:rsidR="00EC53A3" w:rsidRPr="00767F6C" w:rsidRDefault="00EC53A3" w:rsidP="00BB3C4A">
            <w:pPr>
              <w:spacing w:after="0"/>
              <w:jc w:val="right"/>
              <w:rPr>
                <w:rFonts w:ascii="Seaford" w:hAnsi="Seaford"/>
                <w:sz w:val="22"/>
                <w:lang w:val="en-CA"/>
              </w:rPr>
            </w:pPr>
          </w:p>
        </w:tc>
        <w:tc>
          <w:tcPr>
            <w:tcW w:w="3024" w:type="dxa"/>
          </w:tcPr>
          <w:p w14:paraId="0D094F36" w14:textId="5E1576E3" w:rsidR="00EC53A3" w:rsidRPr="00767F6C" w:rsidRDefault="00EC53A3" w:rsidP="007B77FF">
            <w:pPr>
              <w:tabs>
                <w:tab w:val="right" w:pos="2790"/>
              </w:tabs>
              <w:spacing w:after="0"/>
              <w:jc w:val="right"/>
              <w:rPr>
                <w:rFonts w:ascii="Seaford" w:hAnsi="Seaford"/>
                <w:sz w:val="22"/>
                <w:lang w:val="en-CA"/>
              </w:rPr>
            </w:pPr>
            <w:r w:rsidRPr="00767F6C">
              <w:rPr>
                <w:rFonts w:ascii="Seaford" w:hAnsi="Seaford"/>
                <w:sz w:val="22"/>
                <w:lang w:val="en-CA"/>
              </w:rPr>
              <w:tab/>
              <w:t xml:space="preserve">, </w:t>
            </w:r>
            <w:r w:rsidR="00675EEB" w:rsidRPr="00767F6C">
              <w:rPr>
                <w:rFonts w:ascii="Seaford" w:hAnsi="Seaford"/>
                <w:sz w:val="22"/>
                <w:lang w:val="en-CA"/>
              </w:rPr>
              <w:t>20</w:t>
            </w:r>
            <w:r w:rsidR="00F73F8F" w:rsidRPr="00767F6C">
              <w:rPr>
                <w:rFonts w:ascii="Seaford" w:hAnsi="Seaford"/>
                <w:sz w:val="22"/>
                <w:lang w:val="en-CA"/>
              </w:rPr>
              <w:t>2</w:t>
            </w:r>
            <w:r w:rsidR="00A32CB8">
              <w:rPr>
                <w:rFonts w:ascii="Seaford" w:hAnsi="Seaford"/>
                <w:sz w:val="22"/>
                <w:lang w:val="en-CA"/>
              </w:rPr>
              <w:t>4</w:t>
            </w:r>
          </w:p>
        </w:tc>
      </w:tr>
    </w:tbl>
    <w:p w14:paraId="1450F12B" w14:textId="77777777" w:rsidR="00EC53A3" w:rsidRPr="00767F6C" w:rsidRDefault="00EC53A3">
      <w:pPr>
        <w:jc w:val="both"/>
        <w:rPr>
          <w:rFonts w:ascii="Seaford" w:hAnsi="Seaford"/>
          <w:sz w:val="22"/>
          <w:lang w:val="en-CA"/>
        </w:rPr>
      </w:pPr>
    </w:p>
    <w:p w14:paraId="0040CA61" w14:textId="77777777" w:rsidR="00D27764" w:rsidRPr="00767F6C" w:rsidRDefault="00D27764" w:rsidP="001377C1">
      <w:pPr>
        <w:rPr>
          <w:rFonts w:ascii="Seaford" w:hAnsi="Seaford"/>
          <w:sz w:val="22"/>
          <w:lang w:val="en-CA"/>
        </w:rPr>
      </w:pPr>
    </w:p>
    <w:p w14:paraId="50A090DA" w14:textId="77777777" w:rsidR="009D78FA" w:rsidRPr="00767F6C" w:rsidRDefault="009D78FA" w:rsidP="009D78FA">
      <w:pPr>
        <w:rPr>
          <w:rFonts w:ascii="Seaford" w:hAnsi="Seaford"/>
          <w:sz w:val="22"/>
          <w:lang w:val="en-CA"/>
        </w:rPr>
      </w:pPr>
    </w:p>
    <w:p w14:paraId="3AE1DC14" w14:textId="77777777" w:rsidR="009D78FA" w:rsidRPr="00767F6C" w:rsidRDefault="009D78FA" w:rsidP="009D78FA">
      <w:pPr>
        <w:rPr>
          <w:rFonts w:ascii="Seaford" w:hAnsi="Seaford"/>
          <w:sz w:val="22"/>
          <w:lang w:val="en-CA"/>
        </w:rPr>
      </w:pPr>
    </w:p>
    <w:p w14:paraId="05C4CE2D" w14:textId="77777777" w:rsidR="009D78FA" w:rsidRPr="00767F6C" w:rsidRDefault="009D78FA" w:rsidP="009D78FA">
      <w:pPr>
        <w:rPr>
          <w:rFonts w:ascii="Seaford" w:hAnsi="Seaford"/>
          <w:sz w:val="22"/>
          <w:lang w:val="en-CA"/>
        </w:rPr>
      </w:pPr>
    </w:p>
    <w:p w14:paraId="6A263ED4" w14:textId="77777777" w:rsidR="009D78FA" w:rsidRPr="00767F6C" w:rsidRDefault="009D78FA" w:rsidP="009D78FA">
      <w:pPr>
        <w:tabs>
          <w:tab w:val="left" w:pos="8105"/>
        </w:tabs>
        <w:rPr>
          <w:rFonts w:ascii="Seaford" w:hAnsi="Seaford"/>
          <w:sz w:val="22"/>
          <w:lang w:val="en-CA"/>
        </w:rPr>
      </w:pPr>
      <w:r w:rsidRPr="00767F6C">
        <w:rPr>
          <w:rFonts w:ascii="Seaford" w:hAnsi="Seaford"/>
          <w:sz w:val="22"/>
          <w:lang w:val="en-CA"/>
        </w:rPr>
        <w:tab/>
      </w:r>
    </w:p>
    <w:sectPr w:rsidR="009D78FA" w:rsidRPr="00767F6C" w:rsidSect="00A32CB8">
      <w:headerReference w:type="even" r:id="rId7"/>
      <w:headerReference w:type="default" r:id="rId8"/>
      <w:footerReference w:type="default" r:id="rId9"/>
      <w:footerReference w:type="first" r:id="rId10"/>
      <w:pgSz w:w="12240" w:h="15840"/>
      <w:pgMar w:top="1080" w:right="1440" w:bottom="1080" w:left="1440" w:header="864"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6950" w14:textId="77777777" w:rsidR="00A32CB8" w:rsidRDefault="00A32CB8">
      <w:r>
        <w:separator/>
      </w:r>
    </w:p>
  </w:endnote>
  <w:endnote w:type="continuationSeparator" w:id="0">
    <w:p w14:paraId="16874063" w14:textId="77777777" w:rsidR="00A32CB8" w:rsidRDefault="00A3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aford">
    <w:panose1 w:val="020B0502030303020204"/>
    <w:charset w:val="00"/>
    <w:family w:val="swiss"/>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AD24" w14:textId="77777777" w:rsidR="00EC53A3" w:rsidRPr="00767F6C" w:rsidRDefault="00E841E3">
    <w:pPr>
      <w:pStyle w:val="Footer"/>
      <w:spacing w:after="0"/>
      <w:jc w:val="right"/>
      <w:rPr>
        <w:rFonts w:ascii="Seaford" w:hAnsi="Seaford"/>
        <w:sz w:val="16"/>
        <w:lang w:val="en-CA"/>
      </w:rPr>
    </w:pPr>
    <w:hyperlink r:id="rId1" w:history="1">
      <w:r w:rsidR="00172A76" w:rsidRPr="00767F6C">
        <w:rPr>
          <w:rStyle w:val="Hyperlink"/>
          <w:rFonts w:ascii="Seaford" w:hAnsi="Seaford"/>
          <w:sz w:val="16"/>
          <w:u w:val="none"/>
          <w:lang w:val="en-CA"/>
        </w:rPr>
        <w:t>McCartneyADR.</w:t>
      </w:r>
      <w:r w:rsidR="00D27764" w:rsidRPr="00767F6C">
        <w:rPr>
          <w:rStyle w:val="Hyperlink"/>
          <w:rFonts w:ascii="Seaford" w:hAnsi="Seaford"/>
          <w:sz w:val="16"/>
          <w:u w:val="none"/>
          <w:lang w:val="en-CA"/>
        </w:rPr>
        <w:t>com</w:t>
      </w:r>
    </w:hyperlink>
  </w:p>
  <w:p w14:paraId="3ECD1D8A" w14:textId="77777777" w:rsidR="00EC53A3" w:rsidRPr="00767F6C" w:rsidRDefault="00EC53A3">
    <w:pPr>
      <w:pStyle w:val="Footer"/>
      <w:spacing w:after="0"/>
      <w:jc w:val="right"/>
      <w:rPr>
        <w:rFonts w:ascii="Seaford" w:hAnsi="Seaford"/>
        <w:sz w:val="16"/>
        <w:lang w:val="en-CA"/>
      </w:rPr>
    </w:pPr>
    <w:r w:rsidRPr="00767F6C">
      <w:rPr>
        <w:rFonts w:ascii="Seaford" w:hAnsi="Seaford"/>
        <w:sz w:val="16"/>
        <w:lang w:val="en-CA"/>
      </w:rPr>
      <w:t xml:space="preserve">403 </w:t>
    </w:r>
    <w:r w:rsidR="00172A76" w:rsidRPr="00767F6C">
      <w:rPr>
        <w:rFonts w:ascii="Seaford" w:hAnsi="Seaford"/>
        <w:sz w:val="16"/>
        <w:lang w:val="en-CA"/>
      </w:rPr>
      <w:t>861 2700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D92F" w14:textId="77777777" w:rsidR="00EC53A3" w:rsidRPr="00861B8A" w:rsidRDefault="00172A76">
    <w:pPr>
      <w:pStyle w:val="Footer"/>
      <w:spacing w:after="0"/>
      <w:jc w:val="right"/>
      <w:rPr>
        <w:rFonts w:ascii="Seaford" w:hAnsi="Seaford"/>
        <w:sz w:val="16"/>
        <w:lang w:val="en-CA"/>
      </w:rPr>
    </w:pPr>
    <w:r w:rsidRPr="00861B8A">
      <w:rPr>
        <w:rFonts w:ascii="Seaford" w:hAnsi="Seaford"/>
        <w:sz w:val="16"/>
        <w:lang w:val="en-CA"/>
      </w:rPr>
      <w:t>McCartneyADR.</w:t>
    </w:r>
    <w:r w:rsidR="00D27764" w:rsidRPr="00861B8A">
      <w:rPr>
        <w:rFonts w:ascii="Seaford" w:hAnsi="Seaford"/>
        <w:sz w:val="16"/>
        <w:lang w:val="en-CA"/>
      </w:rPr>
      <w:t>com</w:t>
    </w:r>
  </w:p>
  <w:p w14:paraId="7CEACA65" w14:textId="77777777" w:rsidR="00EC53A3" w:rsidRPr="00861B8A" w:rsidRDefault="00EC53A3">
    <w:pPr>
      <w:pStyle w:val="Footer"/>
      <w:spacing w:after="0"/>
      <w:jc w:val="right"/>
      <w:rPr>
        <w:rFonts w:ascii="Seaford" w:hAnsi="Seaford"/>
        <w:sz w:val="16"/>
        <w:lang w:val="en-CA"/>
      </w:rPr>
    </w:pPr>
    <w:r w:rsidRPr="00861B8A">
      <w:rPr>
        <w:rFonts w:ascii="Seaford" w:hAnsi="Seaford"/>
        <w:sz w:val="16"/>
        <w:lang w:val="en-CA"/>
      </w:rPr>
      <w:t xml:space="preserve">403 </w:t>
    </w:r>
    <w:r w:rsidR="00172A76" w:rsidRPr="00861B8A">
      <w:rPr>
        <w:rFonts w:ascii="Seaford" w:hAnsi="Seaford"/>
        <w:sz w:val="16"/>
        <w:lang w:val="en-CA"/>
      </w:rPr>
      <w:t>861 2700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15A9" w14:textId="77777777" w:rsidR="00A32CB8" w:rsidRDefault="00A32CB8">
      <w:r>
        <w:separator/>
      </w:r>
    </w:p>
  </w:footnote>
  <w:footnote w:type="continuationSeparator" w:id="0">
    <w:p w14:paraId="40F5E2AE" w14:textId="77777777" w:rsidR="00A32CB8" w:rsidRDefault="00A32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50A4" w14:textId="77777777" w:rsidR="00EC53A3" w:rsidRDefault="00830BE3">
    <w:pPr>
      <w:pStyle w:val="Header"/>
      <w:framePr w:wrap="around" w:vAnchor="text" w:hAnchor="margin" w:xAlign="center" w:y="1"/>
      <w:rPr>
        <w:rStyle w:val="PageNumber"/>
      </w:rPr>
    </w:pPr>
    <w:r>
      <w:rPr>
        <w:rStyle w:val="PageNumber"/>
      </w:rPr>
      <w:fldChar w:fldCharType="begin"/>
    </w:r>
    <w:r w:rsidR="00EC53A3">
      <w:rPr>
        <w:rStyle w:val="PageNumber"/>
      </w:rPr>
      <w:instrText xml:space="preserve">PAGE  </w:instrText>
    </w:r>
    <w:r>
      <w:rPr>
        <w:rStyle w:val="PageNumber"/>
      </w:rPr>
      <w:fldChar w:fldCharType="end"/>
    </w:r>
  </w:p>
  <w:p w14:paraId="44B48FC6" w14:textId="77777777" w:rsidR="00EC53A3" w:rsidRDefault="00EC5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ford" w:hAnsi="Seaford"/>
        <w:sz w:val="20"/>
      </w:rPr>
      <w:id w:val="-1251801897"/>
      <w:docPartObj>
        <w:docPartGallery w:val="Page Numbers (Top of Page)"/>
        <w:docPartUnique/>
      </w:docPartObj>
    </w:sdtPr>
    <w:sdtEndPr>
      <w:rPr>
        <w:noProof/>
      </w:rPr>
    </w:sdtEndPr>
    <w:sdtContent>
      <w:p w14:paraId="3B5B5C19" w14:textId="77777777" w:rsidR="005A4C52" w:rsidRPr="00220963" w:rsidRDefault="005A4C52">
        <w:pPr>
          <w:pStyle w:val="Header"/>
          <w:jc w:val="center"/>
          <w:rPr>
            <w:rFonts w:ascii="Seaford" w:hAnsi="Seaford"/>
            <w:sz w:val="20"/>
          </w:rPr>
        </w:pPr>
        <w:r w:rsidRPr="00220963">
          <w:rPr>
            <w:rFonts w:ascii="Seaford" w:hAnsi="Seaford"/>
            <w:sz w:val="20"/>
          </w:rPr>
          <w:fldChar w:fldCharType="begin"/>
        </w:r>
        <w:r w:rsidRPr="00220963">
          <w:rPr>
            <w:rFonts w:ascii="Seaford" w:hAnsi="Seaford"/>
            <w:sz w:val="20"/>
          </w:rPr>
          <w:instrText xml:space="preserve"> PAGE   \* MERGEFORMAT </w:instrText>
        </w:r>
        <w:r w:rsidRPr="00220963">
          <w:rPr>
            <w:rFonts w:ascii="Seaford" w:hAnsi="Seaford"/>
            <w:sz w:val="20"/>
          </w:rPr>
          <w:fldChar w:fldCharType="separate"/>
        </w:r>
        <w:r w:rsidRPr="00220963">
          <w:rPr>
            <w:rFonts w:ascii="Seaford" w:hAnsi="Seaford"/>
            <w:noProof/>
            <w:sz w:val="20"/>
          </w:rPr>
          <w:t>2</w:t>
        </w:r>
        <w:r w:rsidRPr="00220963">
          <w:rPr>
            <w:rFonts w:ascii="Seaford" w:hAnsi="Seaford"/>
            <w:noProof/>
            <w:sz w:val="20"/>
          </w:rPr>
          <w:fldChar w:fldCharType="end"/>
        </w:r>
      </w:p>
    </w:sdtContent>
  </w:sdt>
  <w:p w14:paraId="3AE9085E" w14:textId="77777777" w:rsidR="00EC53A3" w:rsidRPr="00220963" w:rsidRDefault="00EC53A3" w:rsidP="005A4C52">
    <w:pPr>
      <w:pStyle w:val="Header"/>
      <w:jc w:val="right"/>
      <w:rPr>
        <w:rFonts w:ascii="Seaford" w:hAnsi="Seafor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634A1"/>
    <w:multiLevelType w:val="singleLevel"/>
    <w:tmpl w:val="8DC42F68"/>
    <w:lvl w:ilvl="0">
      <w:start w:val="1"/>
      <w:numFmt w:val="bullet"/>
      <w:pStyle w:val="SalesTipsText"/>
      <w:lvlText w:val=""/>
      <w:lvlJc w:val="left"/>
      <w:pPr>
        <w:tabs>
          <w:tab w:val="num" w:pos="360"/>
        </w:tabs>
        <w:ind w:left="360" w:hanging="360"/>
      </w:pPr>
      <w:rPr>
        <w:rFonts w:ascii="Symbol" w:hAnsi="Symbol" w:hint="default"/>
      </w:rPr>
    </w:lvl>
  </w:abstractNum>
  <w:num w:numId="1" w16cid:durableId="677460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3"/>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B8"/>
    <w:rsid w:val="00000EAE"/>
    <w:rsid w:val="00052787"/>
    <w:rsid w:val="0005747C"/>
    <w:rsid w:val="00061B5F"/>
    <w:rsid w:val="00096C63"/>
    <w:rsid w:val="000B72B2"/>
    <w:rsid w:val="000C5F1D"/>
    <w:rsid w:val="000F0410"/>
    <w:rsid w:val="000F2012"/>
    <w:rsid w:val="00135465"/>
    <w:rsid w:val="001377C1"/>
    <w:rsid w:val="00146DDB"/>
    <w:rsid w:val="00172A76"/>
    <w:rsid w:val="001B7DC3"/>
    <w:rsid w:val="001D5102"/>
    <w:rsid w:val="001E1812"/>
    <w:rsid w:val="001E3543"/>
    <w:rsid w:val="002149BD"/>
    <w:rsid w:val="00220963"/>
    <w:rsid w:val="00230F1A"/>
    <w:rsid w:val="00260A3A"/>
    <w:rsid w:val="002836AA"/>
    <w:rsid w:val="00284671"/>
    <w:rsid w:val="002C2584"/>
    <w:rsid w:val="00300282"/>
    <w:rsid w:val="003253F6"/>
    <w:rsid w:val="00354BAF"/>
    <w:rsid w:val="003617A6"/>
    <w:rsid w:val="00362DF9"/>
    <w:rsid w:val="00371DC9"/>
    <w:rsid w:val="003773AD"/>
    <w:rsid w:val="00385C55"/>
    <w:rsid w:val="003917F8"/>
    <w:rsid w:val="003A2EA0"/>
    <w:rsid w:val="003A6862"/>
    <w:rsid w:val="003B28AC"/>
    <w:rsid w:val="003B509B"/>
    <w:rsid w:val="00450C23"/>
    <w:rsid w:val="00464265"/>
    <w:rsid w:val="004A6422"/>
    <w:rsid w:val="004B19A7"/>
    <w:rsid w:val="004B7E81"/>
    <w:rsid w:val="004D56FE"/>
    <w:rsid w:val="004D6C99"/>
    <w:rsid w:val="004E1647"/>
    <w:rsid w:val="00503013"/>
    <w:rsid w:val="00530ED6"/>
    <w:rsid w:val="00532BF8"/>
    <w:rsid w:val="00535ADE"/>
    <w:rsid w:val="005646C7"/>
    <w:rsid w:val="00570A2D"/>
    <w:rsid w:val="00584FEC"/>
    <w:rsid w:val="005A19E1"/>
    <w:rsid w:val="005A4C52"/>
    <w:rsid w:val="005B01C2"/>
    <w:rsid w:val="005B75FB"/>
    <w:rsid w:val="00611993"/>
    <w:rsid w:val="0061772C"/>
    <w:rsid w:val="00675DE5"/>
    <w:rsid w:val="00675EEB"/>
    <w:rsid w:val="00682FCA"/>
    <w:rsid w:val="00687631"/>
    <w:rsid w:val="006B2EB8"/>
    <w:rsid w:val="006B459D"/>
    <w:rsid w:val="006E7583"/>
    <w:rsid w:val="007406FA"/>
    <w:rsid w:val="007552DB"/>
    <w:rsid w:val="00762F24"/>
    <w:rsid w:val="00767F6C"/>
    <w:rsid w:val="00776EAD"/>
    <w:rsid w:val="00794B8E"/>
    <w:rsid w:val="007B32BD"/>
    <w:rsid w:val="007B77FF"/>
    <w:rsid w:val="007E1A1E"/>
    <w:rsid w:val="007F042F"/>
    <w:rsid w:val="00806C21"/>
    <w:rsid w:val="00830BE3"/>
    <w:rsid w:val="00861B8A"/>
    <w:rsid w:val="00864C3B"/>
    <w:rsid w:val="008A06F7"/>
    <w:rsid w:val="008B032B"/>
    <w:rsid w:val="008C0B50"/>
    <w:rsid w:val="008D423B"/>
    <w:rsid w:val="008F4F74"/>
    <w:rsid w:val="00902953"/>
    <w:rsid w:val="00916851"/>
    <w:rsid w:val="00943BC3"/>
    <w:rsid w:val="009D78FA"/>
    <w:rsid w:val="009E27CB"/>
    <w:rsid w:val="009F2B1F"/>
    <w:rsid w:val="009F3892"/>
    <w:rsid w:val="00A05D8E"/>
    <w:rsid w:val="00A32CB8"/>
    <w:rsid w:val="00A7727C"/>
    <w:rsid w:val="00A837C1"/>
    <w:rsid w:val="00A94320"/>
    <w:rsid w:val="00A94EF2"/>
    <w:rsid w:val="00AC520B"/>
    <w:rsid w:val="00AF286B"/>
    <w:rsid w:val="00AF2B8E"/>
    <w:rsid w:val="00B15C22"/>
    <w:rsid w:val="00B1702D"/>
    <w:rsid w:val="00B36511"/>
    <w:rsid w:val="00B750C5"/>
    <w:rsid w:val="00B856C7"/>
    <w:rsid w:val="00BA0EF0"/>
    <w:rsid w:val="00BA72B9"/>
    <w:rsid w:val="00BB03F1"/>
    <w:rsid w:val="00BB070B"/>
    <w:rsid w:val="00BB3C4A"/>
    <w:rsid w:val="00BC0542"/>
    <w:rsid w:val="00BD2ED9"/>
    <w:rsid w:val="00BF23F3"/>
    <w:rsid w:val="00C14FEA"/>
    <w:rsid w:val="00C3467B"/>
    <w:rsid w:val="00C810ED"/>
    <w:rsid w:val="00CB611F"/>
    <w:rsid w:val="00CC27FB"/>
    <w:rsid w:val="00CC6706"/>
    <w:rsid w:val="00CC6F81"/>
    <w:rsid w:val="00CE4E67"/>
    <w:rsid w:val="00CF23D1"/>
    <w:rsid w:val="00CF7766"/>
    <w:rsid w:val="00D029E6"/>
    <w:rsid w:val="00D27764"/>
    <w:rsid w:val="00D7634D"/>
    <w:rsid w:val="00D82EFF"/>
    <w:rsid w:val="00DA7842"/>
    <w:rsid w:val="00DB6858"/>
    <w:rsid w:val="00DC4EB2"/>
    <w:rsid w:val="00DD1708"/>
    <w:rsid w:val="00DE206F"/>
    <w:rsid w:val="00E11F61"/>
    <w:rsid w:val="00E172EA"/>
    <w:rsid w:val="00E34B6E"/>
    <w:rsid w:val="00E42864"/>
    <w:rsid w:val="00E560FE"/>
    <w:rsid w:val="00E70C65"/>
    <w:rsid w:val="00E73246"/>
    <w:rsid w:val="00E74DB6"/>
    <w:rsid w:val="00E841E3"/>
    <w:rsid w:val="00EA71AA"/>
    <w:rsid w:val="00EB5E76"/>
    <w:rsid w:val="00EB72AB"/>
    <w:rsid w:val="00EC09E1"/>
    <w:rsid w:val="00EC53A3"/>
    <w:rsid w:val="00EE190B"/>
    <w:rsid w:val="00F02A0C"/>
    <w:rsid w:val="00F45FB5"/>
    <w:rsid w:val="00F73F8F"/>
    <w:rsid w:val="00FA3754"/>
    <w:rsid w:val="00FA5DBC"/>
    <w:rsid w:val="00FE4F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925B3"/>
  <w15:docId w15:val="{31E12C66-547F-49BF-84EA-DDD737F9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67B"/>
    <w:pPr>
      <w:spacing w:after="120"/>
    </w:pPr>
    <w:rPr>
      <w:rFonts w:ascii="Lucida Sans Unicode" w:hAnsi="Lucida Sans Unicode"/>
      <w:sz w:val="24"/>
      <w:lang w:val="en-US" w:eastAsia="en-US"/>
    </w:rPr>
  </w:style>
  <w:style w:type="paragraph" w:styleId="Heading1">
    <w:name w:val="heading 1"/>
    <w:basedOn w:val="Normal"/>
    <w:next w:val="Normal"/>
    <w:qFormat/>
    <w:rsid w:val="00C3467B"/>
    <w:pPr>
      <w:keepNext/>
      <w:spacing w:before="240" w:after="60"/>
      <w:outlineLvl w:val="0"/>
    </w:pPr>
    <w:rPr>
      <w:rFonts w:ascii="Arial" w:hAnsi="Arial"/>
      <w:b/>
      <w:kern w:val="28"/>
      <w:sz w:val="28"/>
    </w:rPr>
  </w:style>
  <w:style w:type="paragraph" w:styleId="Heading2">
    <w:name w:val="heading 2"/>
    <w:basedOn w:val="Normal"/>
    <w:next w:val="Normal"/>
    <w:qFormat/>
    <w:rsid w:val="00C3467B"/>
    <w:pPr>
      <w:keepNext/>
      <w:spacing w:before="240" w:after="60"/>
      <w:jc w:val="both"/>
      <w:outlineLvl w:val="1"/>
    </w:pPr>
    <w:rPr>
      <w:rFonts w:ascii="Arial" w:hAnsi="Arial"/>
      <w:b/>
      <w:i/>
    </w:rPr>
  </w:style>
  <w:style w:type="paragraph" w:styleId="Heading3">
    <w:name w:val="heading 3"/>
    <w:basedOn w:val="Normal"/>
    <w:next w:val="NormalIndent"/>
    <w:qFormat/>
    <w:rsid w:val="00C3467B"/>
    <w:pPr>
      <w:keepNext/>
      <w:spacing w:before="120"/>
      <w:ind w:left="360"/>
      <w:outlineLvl w:val="2"/>
    </w:pPr>
    <w:rPr>
      <w:rFonts w:ascii="Arial Rounded MT Bold" w:hAnsi="Arial Rounded MT Bold"/>
    </w:rPr>
  </w:style>
  <w:style w:type="paragraph" w:styleId="Heading4">
    <w:name w:val="heading 4"/>
    <w:basedOn w:val="Normal"/>
    <w:next w:val="NormalIndent"/>
    <w:qFormat/>
    <w:rsid w:val="00C3467B"/>
    <w:pPr>
      <w:keepNext/>
      <w:spacing w:before="120"/>
      <w:ind w:left="720"/>
      <w:outlineLvl w:val="3"/>
    </w:pPr>
    <w:rPr>
      <w:b/>
    </w:rPr>
  </w:style>
  <w:style w:type="paragraph" w:styleId="Heading5">
    <w:name w:val="heading 5"/>
    <w:basedOn w:val="Normal"/>
    <w:next w:val="NormalIndent"/>
    <w:qFormat/>
    <w:rsid w:val="00C3467B"/>
    <w:p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467B"/>
    <w:pPr>
      <w:framePr w:w="7920" w:h="1980" w:hRule="exact" w:hSpace="180" w:wrap="auto" w:hAnchor="page" w:xAlign="center" w:yAlign="bottom"/>
      <w:spacing w:after="0"/>
      <w:ind w:left="2880"/>
    </w:pPr>
  </w:style>
  <w:style w:type="paragraph" w:styleId="EnvelopeReturn">
    <w:name w:val="envelope return"/>
    <w:basedOn w:val="Normal"/>
    <w:rsid w:val="00C3467B"/>
    <w:rPr>
      <w:sz w:val="20"/>
    </w:rPr>
  </w:style>
  <w:style w:type="paragraph" w:styleId="Footer">
    <w:name w:val="footer"/>
    <w:basedOn w:val="Normal"/>
    <w:rsid w:val="00C3467B"/>
    <w:pPr>
      <w:tabs>
        <w:tab w:val="center" w:pos="4320"/>
        <w:tab w:val="right" w:pos="8640"/>
      </w:tabs>
    </w:pPr>
  </w:style>
  <w:style w:type="character" w:styleId="FootnoteReference">
    <w:name w:val="footnote reference"/>
    <w:semiHidden/>
    <w:rsid w:val="00C3467B"/>
    <w:rPr>
      <w:rFonts w:ascii="Lucida Sans" w:hAnsi="Lucida Sans"/>
      <w:sz w:val="20"/>
      <w:vertAlign w:val="superscript"/>
    </w:rPr>
  </w:style>
  <w:style w:type="paragraph" w:styleId="FootnoteText">
    <w:name w:val="footnote text"/>
    <w:basedOn w:val="Normal"/>
    <w:semiHidden/>
    <w:rsid w:val="00C3467B"/>
    <w:pPr>
      <w:tabs>
        <w:tab w:val="left" w:pos="720"/>
      </w:tabs>
    </w:pPr>
  </w:style>
  <w:style w:type="paragraph" w:styleId="Header">
    <w:name w:val="header"/>
    <w:basedOn w:val="Normal"/>
    <w:link w:val="HeaderChar"/>
    <w:uiPriority w:val="99"/>
    <w:rsid w:val="00C3467B"/>
    <w:pPr>
      <w:tabs>
        <w:tab w:val="center" w:pos="4320"/>
        <w:tab w:val="right" w:pos="8640"/>
      </w:tabs>
    </w:pPr>
  </w:style>
  <w:style w:type="paragraph" w:styleId="NormalIndent">
    <w:name w:val="Normal Indent"/>
    <w:basedOn w:val="Normal"/>
    <w:rsid w:val="00C3467B"/>
    <w:pPr>
      <w:ind w:left="720"/>
    </w:pPr>
  </w:style>
  <w:style w:type="character" w:styleId="LineNumber">
    <w:name w:val="line number"/>
    <w:rsid w:val="00C3467B"/>
    <w:rPr>
      <w:rFonts w:ascii="Book Antiqua" w:hAnsi="Book Antiqua"/>
      <w:sz w:val="20"/>
    </w:rPr>
  </w:style>
  <w:style w:type="character" w:styleId="PageNumber">
    <w:name w:val="page number"/>
    <w:rsid w:val="00C3467B"/>
    <w:rPr>
      <w:rFonts w:ascii="Lucida Sans" w:hAnsi="Lucida Sans"/>
      <w:sz w:val="20"/>
    </w:rPr>
  </w:style>
  <w:style w:type="paragraph" w:customStyle="1" w:styleId="Style1">
    <w:name w:val="Style1"/>
    <w:basedOn w:val="Normal"/>
    <w:rsid w:val="00C3467B"/>
  </w:style>
  <w:style w:type="paragraph" w:customStyle="1" w:styleId="wfxBillCode">
    <w:name w:val="wfxBillCode"/>
    <w:basedOn w:val="Normal"/>
    <w:rsid w:val="00C3467B"/>
  </w:style>
  <w:style w:type="paragraph" w:customStyle="1" w:styleId="wfxCompany">
    <w:name w:val="wfxCompany"/>
    <w:basedOn w:val="Normal"/>
    <w:rsid w:val="00C3467B"/>
  </w:style>
  <w:style w:type="paragraph" w:customStyle="1" w:styleId="wfxDate">
    <w:name w:val="wfxDate"/>
    <w:basedOn w:val="Normal"/>
    <w:rsid w:val="00C3467B"/>
  </w:style>
  <w:style w:type="paragraph" w:customStyle="1" w:styleId="wfxFaxNum">
    <w:name w:val="wfxFaxNum"/>
    <w:basedOn w:val="Normal"/>
    <w:rsid w:val="00C3467B"/>
  </w:style>
  <w:style w:type="paragraph" w:customStyle="1" w:styleId="wfxKeyword">
    <w:name w:val="wfxKeyword"/>
    <w:basedOn w:val="Normal"/>
    <w:rsid w:val="00C3467B"/>
  </w:style>
  <w:style w:type="paragraph" w:customStyle="1" w:styleId="wfxRecipient">
    <w:name w:val="wfxRecipient"/>
    <w:basedOn w:val="Normal"/>
    <w:rsid w:val="00C3467B"/>
  </w:style>
  <w:style w:type="paragraph" w:customStyle="1" w:styleId="wfxSubject">
    <w:name w:val="wfxSubject"/>
    <w:basedOn w:val="Normal"/>
    <w:rsid w:val="00C3467B"/>
  </w:style>
  <w:style w:type="paragraph" w:customStyle="1" w:styleId="wfxTime">
    <w:name w:val="wfxTime"/>
    <w:basedOn w:val="Normal"/>
    <w:rsid w:val="00C3467B"/>
  </w:style>
  <w:style w:type="paragraph" w:customStyle="1" w:styleId="SalesTipes">
    <w:name w:val="Sales Tipes"/>
    <w:basedOn w:val="Normal"/>
    <w:rsid w:val="00C3467B"/>
    <w:pPr>
      <w:spacing w:after="0"/>
      <w:ind w:left="360"/>
    </w:pPr>
    <w:rPr>
      <w:b/>
    </w:rPr>
  </w:style>
  <w:style w:type="paragraph" w:customStyle="1" w:styleId="SalesTips">
    <w:name w:val="Sales Tips"/>
    <w:basedOn w:val="Normal"/>
    <w:rsid w:val="00C3467B"/>
    <w:pPr>
      <w:keepNext/>
      <w:spacing w:before="60" w:after="0"/>
      <w:ind w:left="360"/>
    </w:pPr>
    <w:rPr>
      <w:b/>
    </w:rPr>
  </w:style>
  <w:style w:type="paragraph" w:customStyle="1" w:styleId="SalesTipsText">
    <w:name w:val="Sales Tips Text"/>
    <w:basedOn w:val="Normal"/>
    <w:rsid w:val="00C3467B"/>
    <w:pPr>
      <w:numPr>
        <w:numId w:val="1"/>
      </w:numPr>
    </w:pPr>
  </w:style>
  <w:style w:type="paragraph" w:customStyle="1" w:styleId="H3">
    <w:name w:val="H3"/>
    <w:basedOn w:val="Normal"/>
    <w:next w:val="Normal"/>
    <w:rsid w:val="00C3467B"/>
    <w:pPr>
      <w:keepNext/>
      <w:spacing w:before="100" w:after="100"/>
      <w:outlineLvl w:val="3"/>
    </w:pPr>
    <w:rPr>
      <w:rFonts w:ascii="Times New Roman" w:hAnsi="Times New Roman"/>
      <w:b/>
      <w:snapToGrid w:val="0"/>
      <w:sz w:val="28"/>
      <w:lang w:val="en-CA"/>
    </w:rPr>
  </w:style>
  <w:style w:type="paragraph" w:styleId="Title">
    <w:name w:val="Title"/>
    <w:basedOn w:val="Normal"/>
    <w:qFormat/>
    <w:rsid w:val="00C3467B"/>
    <w:pPr>
      <w:jc w:val="center"/>
    </w:pPr>
    <w:rPr>
      <w:sz w:val="32"/>
    </w:rPr>
  </w:style>
  <w:style w:type="paragraph" w:styleId="BodyText">
    <w:name w:val="Body Text"/>
    <w:basedOn w:val="Normal"/>
    <w:rsid w:val="00C3467B"/>
    <w:pPr>
      <w:jc w:val="both"/>
    </w:pPr>
  </w:style>
  <w:style w:type="paragraph" w:styleId="BalloonText">
    <w:name w:val="Balloon Text"/>
    <w:basedOn w:val="Normal"/>
    <w:link w:val="BalloonTextChar"/>
    <w:rsid w:val="00535ADE"/>
    <w:pPr>
      <w:spacing w:after="0"/>
    </w:pPr>
    <w:rPr>
      <w:rFonts w:ascii="Tahoma" w:hAnsi="Tahoma" w:cs="Tahoma"/>
      <w:sz w:val="16"/>
      <w:szCs w:val="16"/>
    </w:rPr>
  </w:style>
  <w:style w:type="character" w:customStyle="1" w:styleId="BalloonTextChar">
    <w:name w:val="Balloon Text Char"/>
    <w:link w:val="BalloonText"/>
    <w:rsid w:val="00535ADE"/>
    <w:rPr>
      <w:rFonts w:ascii="Tahoma" w:hAnsi="Tahoma" w:cs="Tahoma"/>
      <w:sz w:val="16"/>
      <w:szCs w:val="16"/>
      <w:lang w:val="en-US" w:eastAsia="en-US"/>
    </w:rPr>
  </w:style>
  <w:style w:type="character" w:styleId="Hyperlink">
    <w:name w:val="Hyperlink"/>
    <w:basedOn w:val="DefaultParagraphFont"/>
    <w:unhideWhenUsed/>
    <w:rsid w:val="009D78FA"/>
    <w:rPr>
      <w:color w:val="0000FF" w:themeColor="hyperlink"/>
      <w:u w:val="single"/>
    </w:rPr>
  </w:style>
  <w:style w:type="character" w:styleId="UnresolvedMention">
    <w:name w:val="Unresolved Mention"/>
    <w:basedOn w:val="DefaultParagraphFont"/>
    <w:uiPriority w:val="99"/>
    <w:semiHidden/>
    <w:unhideWhenUsed/>
    <w:rsid w:val="009D78FA"/>
    <w:rPr>
      <w:color w:val="605E5C"/>
      <w:shd w:val="clear" w:color="auto" w:fill="E1DFDD"/>
    </w:rPr>
  </w:style>
  <w:style w:type="character" w:customStyle="1" w:styleId="HeaderChar">
    <w:name w:val="Header Char"/>
    <w:basedOn w:val="DefaultParagraphFont"/>
    <w:link w:val="Header"/>
    <w:uiPriority w:val="99"/>
    <w:rsid w:val="005A4C52"/>
    <w:rPr>
      <w:rFonts w:ascii="Lucida Sans Unicode" w:hAnsi="Lucida Sans Unicode"/>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ccartneyad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2572</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Agreement MADR</dc:title>
  <dc:subject/>
  <dc:creator>JimMcCartney</dc:creator>
  <cp:keywords/>
  <cp:lastModifiedBy>Jim McCartney</cp:lastModifiedBy>
  <cp:revision>2</cp:revision>
  <dcterms:created xsi:type="dcterms:W3CDTF">2024-02-04T18:48:00Z</dcterms:created>
  <dcterms:modified xsi:type="dcterms:W3CDTF">2024-02-04T18:50:00Z</dcterms:modified>
</cp:coreProperties>
</file>